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56A" w:rsidRPr="001D22F6" w:rsidRDefault="00132018" w:rsidP="00CC06D4">
      <w:pPr>
        <w:bidi/>
        <w:jc w:val="center"/>
        <w:rPr>
          <w:rFonts w:ascii="Urdu Typesetting" w:hAnsi="Urdu Typesetting" w:cs="Urdu Typesetting"/>
          <w:sz w:val="96"/>
          <w:szCs w:val="96"/>
          <w:rtl/>
          <w:lang w:bidi="ar-DZ"/>
        </w:rPr>
      </w:pPr>
      <w:r>
        <w:rPr>
          <w:rFonts w:ascii="Urdu Typesetting" w:hAnsi="Urdu Typesetting" w:cs="Urdu Typesetting" w:hint="cs"/>
          <w:sz w:val="96"/>
          <w:szCs w:val="96"/>
          <w:rtl/>
          <w:lang w:bidi="ar-DZ"/>
        </w:rPr>
        <w:t>البيان في أ</w:t>
      </w:r>
      <w:r>
        <w:rPr>
          <w:rFonts w:ascii="Urdu Typesetting" w:hAnsi="Urdu Typesetting" w:cs="Urdu Typesetting"/>
          <w:sz w:val="96"/>
          <w:szCs w:val="96"/>
          <w:rtl/>
          <w:lang w:bidi="ar-DZ"/>
        </w:rPr>
        <w:t>خط</w:t>
      </w:r>
      <w:r>
        <w:rPr>
          <w:rFonts w:ascii="Urdu Typesetting" w:hAnsi="Urdu Typesetting" w:cs="Urdu Typesetting" w:hint="cs"/>
          <w:sz w:val="96"/>
          <w:szCs w:val="96"/>
          <w:rtl/>
          <w:lang w:bidi="ar-DZ"/>
        </w:rPr>
        <w:t>اء</w:t>
      </w:r>
      <w:r w:rsidR="00236116" w:rsidRPr="001D22F6">
        <w:rPr>
          <w:rFonts w:ascii="Urdu Typesetting" w:hAnsi="Urdu Typesetting" w:cs="Urdu Typesetting"/>
          <w:sz w:val="96"/>
          <w:szCs w:val="96"/>
          <w:rtl/>
          <w:lang w:bidi="ar-DZ"/>
        </w:rPr>
        <w:t xml:space="preserve"> الاست</w:t>
      </w:r>
      <w:r w:rsidR="00236116" w:rsidRPr="001D22F6">
        <w:rPr>
          <w:rFonts w:ascii="Urdu Typesetting" w:hAnsi="Urdu Typesetting" w:cs="Urdu Typesetting" w:hint="cs"/>
          <w:sz w:val="96"/>
          <w:szCs w:val="96"/>
          <w:rtl/>
          <w:lang w:bidi="ar-DZ"/>
        </w:rPr>
        <w:t>ش</w:t>
      </w:r>
      <w:r>
        <w:rPr>
          <w:rFonts w:ascii="Urdu Typesetting" w:hAnsi="Urdu Typesetting" w:cs="Urdu Typesetting"/>
          <w:sz w:val="96"/>
          <w:szCs w:val="96"/>
          <w:rtl/>
          <w:lang w:bidi="ar-DZ"/>
        </w:rPr>
        <w:t>هاد بآي ال</w:t>
      </w:r>
      <w:r>
        <w:rPr>
          <w:rFonts w:ascii="Urdu Typesetting" w:hAnsi="Urdu Typesetting" w:cs="Urdu Typesetting" w:hint="cs"/>
          <w:sz w:val="96"/>
          <w:szCs w:val="96"/>
          <w:rtl/>
          <w:lang w:bidi="ar-DZ"/>
        </w:rPr>
        <w:t>قرآن</w:t>
      </w:r>
      <w:r w:rsidRPr="00FD7A82">
        <w:rPr>
          <w:rStyle w:val="Appelnotedebasdep"/>
          <w:rFonts w:ascii="Urdu Typesetting" w:hAnsi="Urdu Typesetting" w:cs="Urdu Typesetting"/>
          <w:sz w:val="40"/>
          <w:szCs w:val="40"/>
          <w:rtl/>
          <w:lang w:bidi="ar-DZ"/>
        </w:rPr>
        <w:footnoteReference w:id="1"/>
      </w:r>
    </w:p>
    <w:p w:rsidR="00236116" w:rsidRPr="00132018" w:rsidRDefault="001D22F6" w:rsidP="00132018">
      <w:pPr>
        <w:bidi/>
        <w:jc w:val="center"/>
        <w:rPr>
          <w:rFonts w:ascii="Arabic Typesetting" w:hAnsi="Arabic Typesetting" w:cs="Arabic Typesetting"/>
          <w:sz w:val="48"/>
          <w:szCs w:val="48"/>
          <w:rtl/>
          <w:lang w:bidi="ar-DZ"/>
        </w:rPr>
      </w:pPr>
      <w:r w:rsidRPr="00132018">
        <w:rPr>
          <w:rFonts w:ascii="Arabic Typesetting" w:hAnsi="Arabic Typesetting" w:cs="Arabic Typesetting" w:hint="cs"/>
          <w:sz w:val="48"/>
          <w:szCs w:val="48"/>
          <w:rtl/>
          <w:lang w:bidi="ar-DZ"/>
        </w:rPr>
        <w:t xml:space="preserve">بقلم: الشيخ </w:t>
      </w:r>
      <w:r w:rsidR="00236116" w:rsidRPr="00132018">
        <w:rPr>
          <w:rFonts w:ascii="Arabic Typesetting" w:hAnsi="Arabic Typesetting" w:cs="Arabic Typesetting"/>
          <w:sz w:val="48"/>
          <w:szCs w:val="48"/>
          <w:rtl/>
          <w:lang w:bidi="ar-DZ"/>
        </w:rPr>
        <w:t>عز الدين رمضاني</w:t>
      </w:r>
      <w:r w:rsidRPr="00132018">
        <w:rPr>
          <w:rFonts w:ascii="Arabic Typesetting" w:hAnsi="Arabic Typesetting" w:cs="Arabic Typesetting" w:hint="cs"/>
          <w:sz w:val="48"/>
          <w:szCs w:val="48"/>
          <w:rtl/>
          <w:lang w:bidi="ar-DZ"/>
        </w:rPr>
        <w:t xml:space="preserve"> </w:t>
      </w:r>
    </w:p>
    <w:p w:rsidR="00236116" w:rsidRDefault="00236116" w:rsidP="00236116">
      <w:pPr>
        <w:bidi/>
        <w:jc w:val="center"/>
        <w:rPr>
          <w:rFonts w:ascii="Arabic Typesetting" w:hAnsi="Arabic Typesetting" w:cs="Arabic Typesetting"/>
          <w:sz w:val="36"/>
          <w:szCs w:val="36"/>
          <w:rtl/>
          <w:lang w:bidi="ar-DZ"/>
        </w:rPr>
      </w:pPr>
    </w:p>
    <w:p w:rsidR="00CC06D4" w:rsidRPr="00367718" w:rsidRDefault="00236116" w:rsidP="00CC06D4">
      <w:pPr>
        <w:bidi/>
        <w:rPr>
          <w:rFonts w:ascii="Arabic Typesetting" w:hAnsi="Arabic Typesetting" w:cs="Arabic Typesetting"/>
          <w:sz w:val="36"/>
          <w:szCs w:val="36"/>
          <w:rtl/>
          <w:lang w:bidi="ar-DZ"/>
        </w:rPr>
      </w:pPr>
      <w:r>
        <w:rPr>
          <w:rFonts w:ascii="Arabic Typesetting" w:hAnsi="Arabic Typesetting" w:cs="Arabic Typesetting"/>
          <w:sz w:val="36"/>
          <w:szCs w:val="36"/>
          <w:rtl/>
          <w:lang w:bidi="ar-DZ"/>
        </w:rPr>
        <w:tab/>
      </w:r>
      <w:r w:rsidRPr="00367718">
        <w:rPr>
          <w:rFonts w:ascii="Arabic Typesetting" w:hAnsi="Arabic Typesetting" w:cs="Arabic Typesetting" w:hint="cs"/>
          <w:sz w:val="36"/>
          <w:szCs w:val="36"/>
          <w:rtl/>
          <w:lang w:bidi="ar-DZ"/>
        </w:rPr>
        <w:t>من الأخطاء الشائعة التي درج عليها كلام بعض العامة، ولهجت بها ألسن الوعاظ، وسطرتها بعض أقلام الكتاب، الاستدلال أو الاستشهاد ببعض آيات القرآن أو جزء منها في غير ما نزلت فيه</w:t>
      </w:r>
      <w:r w:rsidRPr="00367718">
        <w:rPr>
          <w:rStyle w:val="Appelnotedebasdep"/>
          <w:rFonts w:ascii="Arabic Typesetting" w:hAnsi="Arabic Typesetting" w:cs="Arabic Typesetting"/>
          <w:sz w:val="36"/>
          <w:szCs w:val="36"/>
          <w:rtl/>
          <w:lang w:bidi="ar-DZ"/>
        </w:rPr>
        <w:footnoteReference w:id="2"/>
      </w:r>
      <w:r w:rsidRPr="00367718">
        <w:rPr>
          <w:rFonts w:ascii="Arabic Typesetting" w:hAnsi="Arabic Typesetting" w:cs="Arabic Typesetting" w:hint="cs"/>
          <w:sz w:val="36"/>
          <w:szCs w:val="36"/>
          <w:rtl/>
          <w:lang w:bidi="ar-DZ"/>
        </w:rPr>
        <w:t xml:space="preserve">، أو وضعت له حكماً أو معنى، أو هما معا، معتقدين -جهلا أو تجاهلا- أنها نص في المسألة التي يريدون الاحتجاج لها ودليلٌ عليها، أو أن تلك الآية لا تحتمل إلا معنى واحدا </w:t>
      </w:r>
      <w:r w:rsidRPr="00367718">
        <w:rPr>
          <w:rFonts w:ascii="Arabic Typesetting" w:hAnsi="Arabic Typesetting" w:cs="Arabic Typesetting"/>
          <w:sz w:val="36"/>
          <w:szCs w:val="36"/>
          <w:rtl/>
          <w:lang w:bidi="ar-DZ"/>
        </w:rPr>
        <w:t>–</w:t>
      </w:r>
      <w:r w:rsidRPr="00367718">
        <w:rPr>
          <w:rFonts w:ascii="Arabic Typesetting" w:hAnsi="Arabic Typesetting" w:cs="Arabic Typesetting" w:hint="cs"/>
          <w:sz w:val="36"/>
          <w:szCs w:val="36"/>
          <w:rtl/>
          <w:lang w:bidi="ar-DZ"/>
        </w:rPr>
        <w:t>وقد يكون مرجوحا-، أو يجوز أن تحمل على عدة معانٍ دون ترجيح معنى على آخر مع وجود ما يقتضي الترجيح</w:t>
      </w:r>
      <w:r w:rsidR="00CC06D4" w:rsidRPr="00367718">
        <w:rPr>
          <w:rFonts w:ascii="Arabic Typesetting" w:hAnsi="Arabic Typesetting" w:cs="Arabic Typesetting" w:hint="cs"/>
          <w:sz w:val="36"/>
          <w:szCs w:val="36"/>
          <w:rtl/>
          <w:lang w:bidi="ar-DZ"/>
        </w:rPr>
        <w:t>.</w:t>
      </w:r>
    </w:p>
    <w:p w:rsidR="00CC06D4" w:rsidRPr="00367718" w:rsidRDefault="00CC06D4" w:rsidP="00CC06D4">
      <w:pPr>
        <w:bidi/>
        <w:rPr>
          <w:rFonts w:ascii="Arabic Typesetting" w:hAnsi="Arabic Typesetting" w:cs="Arabic Typesetting"/>
          <w:sz w:val="36"/>
          <w:szCs w:val="36"/>
          <w:rtl/>
          <w:lang w:bidi="ar-DZ"/>
        </w:rPr>
      </w:pPr>
    </w:p>
    <w:p w:rsidR="00CC06D4" w:rsidRPr="00367718" w:rsidRDefault="00CC06D4" w:rsidP="00CC06D4">
      <w:pPr>
        <w:bidi/>
        <w:rPr>
          <w:rFonts w:ascii="Arabic Typesetting" w:hAnsi="Arabic Typesetting" w:cs="Arabic Typesetting"/>
          <w:sz w:val="36"/>
          <w:szCs w:val="36"/>
          <w:rtl/>
          <w:lang w:bidi="ar-DZ"/>
        </w:rPr>
      </w:pPr>
      <w:r w:rsidRPr="00367718">
        <w:rPr>
          <w:rFonts w:ascii="Arabic Typesetting" w:hAnsi="Arabic Typesetting" w:cs="Arabic Typesetting"/>
          <w:sz w:val="36"/>
          <w:szCs w:val="36"/>
          <w:rtl/>
          <w:lang w:bidi="ar-DZ"/>
        </w:rPr>
        <w:tab/>
      </w:r>
      <w:r w:rsidR="00236116" w:rsidRPr="00367718">
        <w:rPr>
          <w:rFonts w:ascii="Arabic Typesetting" w:hAnsi="Arabic Typesetting" w:cs="Arabic Typesetting" w:hint="cs"/>
          <w:sz w:val="36"/>
          <w:szCs w:val="36"/>
          <w:rtl/>
          <w:lang w:bidi="ar-DZ"/>
        </w:rPr>
        <w:t xml:space="preserve"> وقد جرهم إلى مثل هذا الخطأ وقوفهم على ظاهر الألفاظ دون مراعاة المعاني، أو تجريدهم السياق من سوابقه ولواحقه، أو إهمالهم لما يجب علمه ممَّا يكون سبباُ وسندا في فهم الآية، كعلم أسباب النزول وعلم المكيِّ والمدني وهلم المناسبات بين السُّور والآيات، واختيارهم المعنى بمجرد ما يتبادر للذهن من معان قد تكون صح</w:t>
      </w:r>
      <w:r w:rsidR="001D22F6" w:rsidRPr="00367718">
        <w:rPr>
          <w:rFonts w:ascii="Arabic Typesetting" w:hAnsi="Arabic Typesetting" w:cs="Arabic Typesetting" w:hint="cs"/>
          <w:sz w:val="36"/>
          <w:szCs w:val="36"/>
          <w:rtl/>
          <w:lang w:bidi="ar-DZ"/>
        </w:rPr>
        <w:t>ي</w:t>
      </w:r>
      <w:r w:rsidR="00236116" w:rsidRPr="00367718">
        <w:rPr>
          <w:rFonts w:ascii="Arabic Typesetting" w:hAnsi="Arabic Typesetting" w:cs="Arabic Typesetting" w:hint="cs"/>
          <w:sz w:val="36"/>
          <w:szCs w:val="36"/>
          <w:rtl/>
          <w:lang w:bidi="ar-DZ"/>
        </w:rPr>
        <w:t xml:space="preserve">حة، من غير </w:t>
      </w:r>
      <w:r w:rsidR="001D22F6" w:rsidRPr="00367718">
        <w:rPr>
          <w:rFonts w:ascii="Arabic Typesetting" w:hAnsi="Arabic Typesetting" w:cs="Arabic Typesetting" w:hint="cs"/>
          <w:sz w:val="36"/>
          <w:szCs w:val="36"/>
          <w:rtl/>
          <w:lang w:bidi="ar-DZ"/>
        </w:rPr>
        <w:t>إلى المتكلم بها، وهو الله -عز وجل-، ولا نظر إلى المنزَّل عليه ولا المخاطب به.</w:t>
      </w:r>
    </w:p>
    <w:p w:rsidR="00CC06D4" w:rsidRPr="00367718" w:rsidRDefault="00CC06D4" w:rsidP="00CC06D4">
      <w:pPr>
        <w:bidi/>
        <w:rPr>
          <w:rFonts w:ascii="Arabic Typesetting" w:hAnsi="Arabic Typesetting" w:cs="Arabic Typesetting"/>
          <w:sz w:val="36"/>
          <w:szCs w:val="36"/>
          <w:rtl/>
          <w:lang w:bidi="ar-DZ"/>
        </w:rPr>
      </w:pPr>
    </w:p>
    <w:p w:rsidR="001D22F6" w:rsidRPr="00367718" w:rsidRDefault="001D22F6" w:rsidP="001D22F6">
      <w:pPr>
        <w:bidi/>
        <w:rPr>
          <w:rFonts w:ascii="Arabic Typesetting" w:hAnsi="Arabic Typesetting" w:cs="Arabic Typesetting"/>
          <w:sz w:val="36"/>
          <w:szCs w:val="36"/>
          <w:rtl/>
          <w:lang w:bidi="ar-DZ"/>
        </w:rPr>
      </w:pPr>
      <w:r w:rsidRPr="00367718">
        <w:rPr>
          <w:rFonts w:ascii="Arabic Typesetting" w:hAnsi="Arabic Typesetting" w:cs="Arabic Typesetting"/>
          <w:sz w:val="36"/>
          <w:szCs w:val="36"/>
          <w:rtl/>
          <w:lang w:bidi="ar-DZ"/>
        </w:rPr>
        <w:tab/>
      </w:r>
      <w:r w:rsidRPr="00367718">
        <w:rPr>
          <w:rFonts w:ascii="Arabic Typesetting" w:hAnsi="Arabic Typesetting" w:cs="Arabic Typesetting" w:hint="cs"/>
          <w:sz w:val="36"/>
          <w:szCs w:val="36"/>
          <w:rtl/>
          <w:lang w:bidi="ar-DZ"/>
        </w:rPr>
        <w:t>وهذا من التَّساهل الَّذي أدَّى إلى الوقوع في أخطاء جسام ومخالفات عظام لا تليق بمقام أشرف الكلام، كاتخاذ بعض آياته أو جزء منها مضربا لمثل هازل، أو اقتباس خاطئ أو قياس باطل، وصونا لكتاب الله المنزَّل، ورفعا لشأنه وقَدرِه، وتصحيحا للمفاهيم والاطلاقات الخاطئة ارتَئَيتُ تبصير القرَّاء على صفحات مجلَّتنا ببعض هذه الاستشهادات التي سيقت في غير محلِّها، أو قيلت من غير ضبط لمبناها وفهم معناها، ومن الله أستمد العون والتوفيق والصواب والسداد.</w:t>
      </w:r>
    </w:p>
    <w:p w:rsidR="0083631C" w:rsidRDefault="0083631C" w:rsidP="0083631C">
      <w:pPr>
        <w:bidi/>
        <w:rPr>
          <w:rFonts w:ascii="Arabic Typesetting" w:hAnsi="Arabic Typesetting" w:cs="Arabic Typesetting"/>
          <w:sz w:val="36"/>
          <w:szCs w:val="36"/>
          <w:rtl/>
          <w:lang w:bidi="ar-DZ"/>
        </w:rPr>
      </w:pPr>
    </w:p>
    <w:p w:rsidR="00367718" w:rsidRPr="00367718" w:rsidRDefault="00367718" w:rsidP="00367718">
      <w:pPr>
        <w:bidi/>
        <w:rPr>
          <w:rFonts w:ascii="Arabic Typesetting" w:hAnsi="Arabic Typesetting" w:cs="Arabic Typesetting"/>
          <w:sz w:val="36"/>
          <w:szCs w:val="36"/>
          <w:rtl/>
          <w:lang w:bidi="ar-DZ"/>
        </w:rPr>
      </w:pPr>
    </w:p>
    <w:p w:rsidR="00CC06D4" w:rsidRPr="0081297E" w:rsidRDefault="001D22F6" w:rsidP="00CC06D4">
      <w:pPr>
        <w:pStyle w:val="Paragraphedeliste"/>
        <w:numPr>
          <w:ilvl w:val="0"/>
          <w:numId w:val="1"/>
        </w:numPr>
        <w:bidi/>
        <w:rPr>
          <w:rFonts w:ascii="Arabic Typesetting" w:hAnsi="Arabic Typesetting" w:cs="Arabic Typesetting"/>
          <w:sz w:val="28"/>
          <w:szCs w:val="28"/>
          <w:lang w:bidi="ar-DZ"/>
        </w:rPr>
      </w:pPr>
      <w:r w:rsidRPr="00367718">
        <w:rPr>
          <w:rFonts w:ascii="Arabic Typesetting" w:hAnsi="Arabic Typesetting" w:cs="Arabic Typesetting" w:hint="cs"/>
          <w:sz w:val="36"/>
          <w:szCs w:val="36"/>
          <w:rtl/>
          <w:lang w:bidi="ar-DZ"/>
        </w:rPr>
        <w:t xml:space="preserve">الآية الأولى: قوله تعالى: </w:t>
      </w:r>
      <w:r w:rsidR="00CC06D4" w:rsidRPr="0081297E">
        <w:rPr>
          <w:rFonts w:ascii="AAA GoldenLotus" w:hAnsi="AAA GoldenLotus" w:cs="AAA GoldenLotus"/>
          <w:color w:val="008000"/>
          <w:sz w:val="28"/>
          <w:szCs w:val="28"/>
          <w:rtl/>
        </w:rPr>
        <w:t>﴿ما فرّطْنا فِي الْكِتابِ مِنْ شيْءٍ ﴾[ الأنعام:38]</w:t>
      </w:r>
    </w:p>
    <w:p w:rsidR="001D22F6" w:rsidRPr="00367718" w:rsidRDefault="00CC06D4" w:rsidP="00CC06D4">
      <w:pPr>
        <w:pStyle w:val="Paragraphedeliste"/>
        <w:numPr>
          <w:ilvl w:val="0"/>
          <w:numId w:val="3"/>
        </w:numPr>
        <w:bidi/>
        <w:rPr>
          <w:rFonts w:ascii="Arabic Typesetting" w:hAnsi="Arabic Typesetting" w:cs="Arabic Typesetting"/>
          <w:sz w:val="36"/>
          <w:szCs w:val="36"/>
          <w:rtl/>
          <w:lang w:bidi="ar-DZ"/>
        </w:rPr>
      </w:pPr>
      <w:r w:rsidRPr="0081297E">
        <w:rPr>
          <w:rFonts w:ascii="Arabic Typesetting" w:hAnsi="Arabic Typesetting" w:cs="Arabic Typesetting" w:hint="cs"/>
          <w:sz w:val="36"/>
          <w:szCs w:val="36"/>
          <w:u w:val="single"/>
          <w:rtl/>
          <w:lang w:bidi="ar-DZ"/>
        </w:rPr>
        <w:t>وجه الخطأ</w:t>
      </w:r>
      <w:r w:rsidRPr="00367718">
        <w:rPr>
          <w:rFonts w:ascii="Arabic Typesetting" w:hAnsi="Arabic Typesetting" w:cs="Arabic Typesetting" w:hint="cs"/>
          <w:sz w:val="36"/>
          <w:szCs w:val="36"/>
          <w:rtl/>
          <w:lang w:bidi="ar-DZ"/>
        </w:rPr>
        <w:t>:</w:t>
      </w:r>
      <w:r w:rsidRPr="00367718">
        <w:rPr>
          <w:rFonts w:ascii="Arabic Typesetting" w:hAnsi="Arabic Typesetting" w:cs="Arabic Typesetting" w:hint="cs"/>
          <w:color w:val="FF0000"/>
          <w:sz w:val="36"/>
          <w:szCs w:val="36"/>
          <w:rtl/>
          <w:lang w:bidi="ar-DZ"/>
        </w:rPr>
        <w:t xml:space="preserve"> قصر المعنى على تفسير مرجوح</w:t>
      </w:r>
      <w:r w:rsidRPr="00367718">
        <w:rPr>
          <w:rFonts w:ascii="Arabic Typesetting" w:hAnsi="Arabic Typesetting" w:cs="Arabic Typesetting" w:hint="cs"/>
          <w:sz w:val="36"/>
          <w:szCs w:val="36"/>
          <w:rtl/>
          <w:lang w:bidi="ar-DZ"/>
        </w:rPr>
        <w:t>.</w:t>
      </w:r>
    </w:p>
    <w:p w:rsidR="00CC06D4" w:rsidRPr="00367718" w:rsidRDefault="00CC06D4" w:rsidP="00CC06D4">
      <w:pPr>
        <w:bidi/>
        <w:rPr>
          <w:rFonts w:ascii="Arabic Typesetting" w:hAnsi="Arabic Typesetting" w:cs="Arabic Typesetting"/>
          <w:sz w:val="36"/>
          <w:szCs w:val="36"/>
          <w:rtl/>
          <w:lang w:bidi="ar-DZ"/>
        </w:rPr>
      </w:pPr>
      <w:r w:rsidRPr="00367718">
        <w:rPr>
          <w:rFonts w:ascii="Arabic Typesetting" w:hAnsi="Arabic Typesetting" w:cs="Arabic Typesetting"/>
          <w:sz w:val="36"/>
          <w:szCs w:val="36"/>
          <w:rtl/>
          <w:lang w:bidi="ar-DZ"/>
        </w:rPr>
        <w:tab/>
      </w:r>
      <w:r w:rsidRPr="00367718">
        <w:rPr>
          <w:rFonts w:ascii="Arabic Typesetting" w:hAnsi="Arabic Typesetting" w:cs="Arabic Typesetting" w:hint="cs"/>
          <w:sz w:val="36"/>
          <w:szCs w:val="36"/>
          <w:rtl/>
          <w:lang w:bidi="ar-DZ"/>
        </w:rPr>
        <w:t>ذهب بعض المفسِّرين وتبعهم على ذلك كثير من الوعَّاظ والكتَّاب إلى أن في هذه الآية: ((القرآن))، دون إشارة أو إيماء إلى مرادِ آخر يكون مشتركا معه في المعنى، أو أقوى منه وأظهر، كتفسير الكتاب باللَّوح المحفوظ الذي هو المعنى الرَّاجح.</w:t>
      </w:r>
    </w:p>
    <w:p w:rsidR="00CC06D4" w:rsidRPr="00367718" w:rsidRDefault="00CC06D4" w:rsidP="00CC06D4">
      <w:pPr>
        <w:bidi/>
        <w:rPr>
          <w:rFonts w:ascii="Arabic Typesetting" w:hAnsi="Arabic Typesetting" w:cs="Arabic Typesetting"/>
          <w:sz w:val="36"/>
          <w:szCs w:val="36"/>
          <w:rtl/>
          <w:lang w:bidi="ar-DZ"/>
        </w:rPr>
      </w:pPr>
      <w:r w:rsidRPr="00367718">
        <w:rPr>
          <w:rFonts w:ascii="Arabic Typesetting" w:hAnsi="Arabic Typesetting" w:cs="Arabic Typesetting"/>
          <w:sz w:val="36"/>
          <w:szCs w:val="36"/>
          <w:rtl/>
          <w:lang w:bidi="ar-DZ"/>
        </w:rPr>
        <w:tab/>
      </w:r>
      <w:r w:rsidR="00D145AA" w:rsidRPr="00367718">
        <w:rPr>
          <w:rFonts w:ascii="Arabic Typesetting" w:hAnsi="Arabic Typesetting" w:cs="Arabic Typesetting" w:hint="cs"/>
          <w:sz w:val="36"/>
          <w:szCs w:val="36"/>
          <w:rtl/>
          <w:lang w:bidi="ar-DZ"/>
        </w:rPr>
        <w:t>وقد اقتصر على اختيار القول بأنَّ المراد من الكتاب في هذه الآية هو القرآن جماعة من المفسرين كالسَّمعاني في ((تفسيره)) (2/101) وأبي الحسن على بن أحمد الواحدي أستاذ عصره في التفسير في كتابه ((الوجيز في تفسيره الكتاب العزيز)) (1/352) واكتفى الماوردي في تفسيره ((النكت والعيون)) (1/113) بذكر تأويلين لمعنى الكتاب، أحدهما: إيجاب الأجل، والثاني: القرآن ونسبه إلى الجمهور، ولم يشر إطلاقاً إلى أنَّه اللَّوح المحفوظ.</w:t>
      </w:r>
    </w:p>
    <w:p w:rsidR="00D145AA" w:rsidRPr="00367718" w:rsidRDefault="00D145AA" w:rsidP="00D145AA">
      <w:pPr>
        <w:bidi/>
        <w:rPr>
          <w:rFonts w:ascii="Arabic Typesetting" w:hAnsi="Arabic Typesetting" w:cs="Arabic Typesetting"/>
          <w:sz w:val="36"/>
          <w:szCs w:val="36"/>
          <w:rtl/>
          <w:lang w:bidi="ar-DZ"/>
        </w:rPr>
      </w:pPr>
      <w:r w:rsidRPr="00367718">
        <w:rPr>
          <w:rFonts w:ascii="Arabic Typesetting" w:hAnsi="Arabic Typesetting" w:cs="Arabic Typesetting"/>
          <w:sz w:val="36"/>
          <w:szCs w:val="36"/>
          <w:rtl/>
          <w:lang w:bidi="ar-DZ"/>
        </w:rPr>
        <w:tab/>
      </w:r>
      <w:r w:rsidRPr="00367718">
        <w:rPr>
          <w:rFonts w:ascii="Arabic Typesetting" w:hAnsi="Arabic Typesetting" w:cs="Arabic Typesetting" w:hint="cs"/>
          <w:sz w:val="36"/>
          <w:szCs w:val="36"/>
          <w:rtl/>
          <w:lang w:bidi="ar-DZ"/>
        </w:rPr>
        <w:t xml:space="preserve">وممن رجَّح القول بأنه القرآن مع ذكره للقول الآخر ابن عطيَّة في ((المحرَّر الوجيز)) (2/290) وعبارته: ((والكتاب: القرآن وهو الذي يقتضيه نظام المعنى في هذه الآيات)) وهي نفس العبارة التي قالها الثعالبي صاحب ((الجواهر الحسان)) (1/620) وعنه أخذها، وتبع ابن عطية في ذلك أبو حيَّان في تفسيره ((البحر المحيط)) (4/126) ، فقال بعد أن ذكر المعنى الأوَّل للكتاب </w:t>
      </w:r>
      <w:r w:rsidRPr="00367718">
        <w:rPr>
          <w:rFonts w:ascii="Arabic Typesetting" w:hAnsi="Arabic Typesetting" w:cs="Arabic Typesetting"/>
          <w:sz w:val="36"/>
          <w:szCs w:val="36"/>
          <w:rtl/>
          <w:lang w:bidi="ar-DZ"/>
        </w:rPr>
        <w:t>–</w:t>
      </w:r>
      <w:r w:rsidRPr="00367718">
        <w:rPr>
          <w:rFonts w:ascii="Arabic Typesetting" w:hAnsi="Arabic Typesetting" w:cs="Arabic Typesetting" w:hint="cs"/>
          <w:sz w:val="36"/>
          <w:szCs w:val="36"/>
          <w:rtl/>
          <w:lang w:bidi="ar-DZ"/>
        </w:rPr>
        <w:t>وهو اللَّوح المحفوظ- :</w:t>
      </w:r>
      <w:r w:rsidR="00854D5D" w:rsidRPr="00367718">
        <w:rPr>
          <w:rFonts w:ascii="Arabic Typesetting" w:hAnsi="Arabic Typesetting" w:cs="Arabic Typesetting" w:hint="cs"/>
          <w:sz w:val="36"/>
          <w:szCs w:val="36"/>
          <w:rtl/>
          <w:lang w:bidi="ar-DZ"/>
        </w:rPr>
        <w:t xml:space="preserve"> ((أو القرآن، وهو الذي يقتضيه سياق الآية)).</w:t>
      </w:r>
    </w:p>
    <w:p w:rsidR="00681B5B" w:rsidRPr="00367718" w:rsidRDefault="00681B5B" w:rsidP="00681B5B">
      <w:pPr>
        <w:bidi/>
        <w:rPr>
          <w:rFonts w:ascii="Arabic Typesetting" w:hAnsi="Arabic Typesetting" w:cs="Arabic Typesetting"/>
          <w:sz w:val="36"/>
          <w:szCs w:val="36"/>
          <w:rtl/>
          <w:lang w:bidi="ar-DZ"/>
        </w:rPr>
      </w:pPr>
      <w:r w:rsidRPr="00367718">
        <w:rPr>
          <w:rFonts w:ascii="Arabic Typesetting" w:hAnsi="Arabic Typesetting" w:cs="Arabic Typesetting"/>
          <w:sz w:val="36"/>
          <w:szCs w:val="36"/>
          <w:rtl/>
          <w:lang w:bidi="ar-DZ"/>
        </w:rPr>
        <w:tab/>
      </w:r>
      <w:r w:rsidRPr="00367718">
        <w:rPr>
          <w:rFonts w:ascii="Arabic Typesetting" w:hAnsi="Arabic Typesetting" w:cs="Arabic Typesetting" w:hint="cs"/>
          <w:sz w:val="36"/>
          <w:szCs w:val="36"/>
          <w:rtl/>
          <w:lang w:bidi="ar-DZ"/>
        </w:rPr>
        <w:t>ومن المتأخرين الذين قالوا بترجيح قول من قال بأنه القرآن: الآلوسي في ((روح المعاني)) (7/144) وقد جزم به مستدلا له، هذا ولم يرجح القرطبي في ((الجامع لأحكام القرآن)) (3/420) عند ذكره للمعنيين (القرآن واللوح المحفوظ) أحد القولين/ ومثله الشّوكاني في ((فتح القدير)) (2/114)، وصديق حسن خان في ((فتح البيان)) (4/136).</w:t>
      </w:r>
    </w:p>
    <w:p w:rsidR="00681B5B" w:rsidRPr="00367718" w:rsidRDefault="00681B5B" w:rsidP="00681B5B">
      <w:pPr>
        <w:pStyle w:val="Paragraphedeliste"/>
        <w:numPr>
          <w:ilvl w:val="0"/>
          <w:numId w:val="3"/>
        </w:numPr>
        <w:bidi/>
        <w:rPr>
          <w:rFonts w:ascii="Arabic Typesetting" w:hAnsi="Arabic Typesetting" w:cs="Arabic Typesetting"/>
          <w:b/>
          <w:bCs/>
          <w:sz w:val="36"/>
          <w:szCs w:val="36"/>
          <w:lang w:bidi="ar-DZ"/>
        </w:rPr>
      </w:pPr>
      <w:r w:rsidRPr="00367718">
        <w:rPr>
          <w:rFonts w:ascii="Arabic Typesetting" w:hAnsi="Arabic Typesetting" w:cs="Arabic Typesetting" w:hint="cs"/>
          <w:b/>
          <w:bCs/>
          <w:sz w:val="36"/>
          <w:szCs w:val="36"/>
          <w:rtl/>
          <w:lang w:bidi="ar-DZ"/>
        </w:rPr>
        <w:t>ترجيح القول في أنَّ المراد بالكتاب اللوح المحفوظ:</w:t>
      </w:r>
    </w:p>
    <w:p w:rsidR="00367718" w:rsidRPr="00367718" w:rsidRDefault="00367718" w:rsidP="00367718">
      <w:pPr>
        <w:bidi/>
        <w:rPr>
          <w:rFonts w:ascii="Arabic Typesetting" w:hAnsi="Arabic Typesetting" w:cs="Arabic Typesetting"/>
          <w:sz w:val="36"/>
          <w:szCs w:val="36"/>
          <w:rtl/>
          <w:lang w:bidi="ar-DZ"/>
        </w:rPr>
      </w:pPr>
      <w:r>
        <w:rPr>
          <w:rFonts w:ascii="Arabic Typesetting" w:hAnsi="Arabic Typesetting" w:cs="Arabic Typesetting"/>
          <w:b/>
          <w:bCs/>
          <w:sz w:val="36"/>
          <w:szCs w:val="36"/>
          <w:rtl/>
          <w:lang w:bidi="ar-DZ"/>
        </w:rPr>
        <w:tab/>
      </w:r>
      <w:r w:rsidRPr="0081297E">
        <w:rPr>
          <w:rFonts w:ascii="Arabic Typesetting" w:hAnsi="Arabic Typesetting" w:cs="Arabic Typesetting" w:hint="cs"/>
          <w:b/>
          <w:bCs/>
          <w:sz w:val="36"/>
          <w:szCs w:val="36"/>
          <w:u w:val="single"/>
          <w:rtl/>
          <w:lang w:bidi="ar-DZ"/>
        </w:rPr>
        <w:t>أولاً</w:t>
      </w:r>
      <w:r w:rsidRPr="00367718">
        <w:rPr>
          <w:rFonts w:ascii="Arabic Typesetting" w:hAnsi="Arabic Typesetting" w:cs="Arabic Typesetting" w:hint="cs"/>
          <w:b/>
          <w:bCs/>
          <w:sz w:val="36"/>
          <w:szCs w:val="36"/>
          <w:rtl/>
          <w:lang w:bidi="ar-DZ"/>
        </w:rPr>
        <w:t xml:space="preserve">: </w:t>
      </w:r>
      <w:r w:rsidRPr="00367718">
        <w:rPr>
          <w:rFonts w:ascii="Arabic Typesetting" w:hAnsi="Arabic Typesetting" w:cs="Arabic Typesetting" w:hint="cs"/>
          <w:sz w:val="36"/>
          <w:szCs w:val="36"/>
          <w:rtl/>
          <w:lang w:bidi="ar-DZ"/>
        </w:rPr>
        <w:t>ثبوته عن ترجمان القرآن عبد الله بن عباس رضي الله عنهما: فقد خرج ابن جرير في ((تفسيره)) بتحقيق التركي (3/234) بسند حسن</w:t>
      </w:r>
      <w:r w:rsidRPr="00367718">
        <w:rPr>
          <w:rStyle w:val="Appelnotedebasdep"/>
          <w:rFonts w:ascii="Arabic Typesetting" w:hAnsi="Arabic Typesetting" w:cs="Arabic Typesetting"/>
          <w:sz w:val="36"/>
          <w:szCs w:val="36"/>
          <w:rtl/>
          <w:lang w:bidi="ar-DZ"/>
        </w:rPr>
        <w:footnoteReference w:id="3"/>
      </w:r>
      <w:r w:rsidRPr="00367718">
        <w:rPr>
          <w:rFonts w:ascii="Arabic Typesetting" w:hAnsi="Arabic Typesetting" w:cs="Arabic Typesetting" w:hint="cs"/>
          <w:sz w:val="36"/>
          <w:szCs w:val="36"/>
          <w:rtl/>
          <w:lang w:bidi="ar-DZ"/>
        </w:rPr>
        <w:t xml:space="preserve"> عن علي ابن أبي طلحة عن ابن عباس: </w:t>
      </w:r>
      <w:r w:rsidRPr="00367718">
        <w:rPr>
          <w:rFonts w:ascii="AAA GoldenLotus" w:hAnsi="AAA GoldenLotus" w:cs="AAA GoldenLotus"/>
          <w:color w:val="008000"/>
          <w:sz w:val="28"/>
          <w:szCs w:val="28"/>
          <w:rtl/>
        </w:rPr>
        <w:t xml:space="preserve">﴿ما فرّطْنا فِي الْكِتابِ مِنْ شيْءٍ </w:t>
      </w:r>
      <w:r w:rsidRPr="00367718">
        <w:rPr>
          <w:rFonts w:ascii="AAA GoldenLotus" w:hAnsi="AAA GoldenLotus" w:cs="AAA GoldenLotus" w:hint="cs"/>
          <w:color w:val="008000"/>
          <w:sz w:val="28"/>
          <w:szCs w:val="28"/>
          <w:rtl/>
        </w:rPr>
        <w:t>﴾</w:t>
      </w:r>
      <w:r w:rsidRPr="00367718">
        <w:rPr>
          <w:rFonts w:ascii="AAA GoldenLotus" w:hAnsi="AAA GoldenLotus" w:cs="AAA GoldenLotus"/>
          <w:color w:val="008000"/>
          <w:sz w:val="28"/>
          <w:szCs w:val="28"/>
          <w:rtl/>
        </w:rPr>
        <w:t>[ الأنعام:38]</w:t>
      </w:r>
      <w:r w:rsidRPr="00367718">
        <w:rPr>
          <w:rFonts w:ascii="Arabic Typesetting" w:hAnsi="Arabic Typesetting" w:cs="Arabic Typesetting" w:hint="cs"/>
          <w:sz w:val="36"/>
          <w:szCs w:val="36"/>
          <w:rtl/>
          <w:lang w:bidi="ar-DZ"/>
        </w:rPr>
        <w:t xml:space="preserve"> ما تركنا شيئاً إلا قد بيناه في أم الكتاب.</w:t>
      </w:r>
    </w:p>
    <w:p w:rsidR="00367718" w:rsidRDefault="00367718" w:rsidP="00367718">
      <w:pPr>
        <w:bidi/>
        <w:rPr>
          <w:rFonts w:ascii="Arabic Typesetting" w:hAnsi="Arabic Typesetting" w:cs="Arabic Typesetting"/>
          <w:sz w:val="36"/>
          <w:szCs w:val="36"/>
          <w:rtl/>
          <w:lang w:bidi="ar-DZ"/>
        </w:rPr>
      </w:pPr>
      <w:r>
        <w:rPr>
          <w:rFonts w:ascii="Arabic Typesetting" w:hAnsi="Arabic Typesetting" w:cs="Arabic Typesetting"/>
          <w:sz w:val="36"/>
          <w:szCs w:val="36"/>
          <w:rtl/>
          <w:lang w:bidi="ar-DZ"/>
        </w:rPr>
        <w:tab/>
      </w:r>
      <w:r w:rsidRPr="00367718">
        <w:rPr>
          <w:rFonts w:ascii="Arabic Typesetting" w:hAnsi="Arabic Typesetting" w:cs="Arabic Typesetting" w:hint="cs"/>
          <w:sz w:val="36"/>
          <w:szCs w:val="36"/>
          <w:rtl/>
          <w:lang w:bidi="ar-DZ"/>
        </w:rPr>
        <w:t>وأ</w:t>
      </w:r>
      <w:r>
        <w:rPr>
          <w:rFonts w:ascii="Arabic Typesetting" w:hAnsi="Arabic Typesetting" w:cs="Arabic Typesetting" w:hint="cs"/>
          <w:sz w:val="36"/>
          <w:szCs w:val="36"/>
          <w:rtl/>
          <w:lang w:bidi="ar-DZ"/>
        </w:rPr>
        <w:t>خرجه ابن أبي حاتم في ((تفسيره)) (4/1286) من طريق أبي صالح به، وعزاه السيوطي في ((الدر المنثور)) - تحقيق التركي(2/45) إلى ابن المنذر.</w:t>
      </w:r>
    </w:p>
    <w:p w:rsidR="00367718" w:rsidRDefault="00367718" w:rsidP="00367718">
      <w:pPr>
        <w:bidi/>
        <w:rPr>
          <w:rFonts w:ascii="Arabic Typesetting" w:hAnsi="Arabic Typesetting" w:cs="Arabic Typesetting"/>
          <w:sz w:val="36"/>
          <w:szCs w:val="36"/>
          <w:rtl/>
          <w:lang w:bidi="ar-DZ"/>
        </w:rPr>
      </w:pPr>
      <w:r>
        <w:rPr>
          <w:rFonts w:ascii="Arabic Typesetting" w:hAnsi="Arabic Typesetting" w:cs="Arabic Typesetting"/>
          <w:sz w:val="36"/>
          <w:szCs w:val="36"/>
          <w:rtl/>
          <w:lang w:bidi="ar-DZ"/>
        </w:rPr>
        <w:tab/>
      </w:r>
      <w:r w:rsidRPr="0081297E">
        <w:rPr>
          <w:rFonts w:ascii="Arabic Typesetting" w:hAnsi="Arabic Typesetting" w:cs="Arabic Typesetting" w:hint="cs"/>
          <w:b/>
          <w:bCs/>
          <w:sz w:val="36"/>
          <w:szCs w:val="36"/>
          <w:u w:val="single"/>
          <w:rtl/>
          <w:lang w:bidi="ar-DZ"/>
        </w:rPr>
        <w:t>ثانيا</w:t>
      </w:r>
      <w:r w:rsidRPr="00367718">
        <w:rPr>
          <w:rFonts w:ascii="Arabic Typesetting" w:hAnsi="Arabic Typesetting" w:cs="Arabic Typesetting" w:hint="cs"/>
          <w:b/>
          <w:bCs/>
          <w:sz w:val="36"/>
          <w:szCs w:val="36"/>
          <w:rtl/>
          <w:lang w:bidi="ar-DZ"/>
        </w:rPr>
        <w:t>:</w:t>
      </w:r>
      <w:r>
        <w:rPr>
          <w:rFonts w:ascii="Arabic Typesetting" w:hAnsi="Arabic Typesetting" w:cs="Arabic Typesetting" w:hint="cs"/>
          <w:sz w:val="36"/>
          <w:szCs w:val="36"/>
          <w:rtl/>
          <w:lang w:bidi="ar-DZ"/>
        </w:rPr>
        <w:t xml:space="preserve"> هو قول بعض التابعين ممن اشتهر بالتفسير، ومنهم ابن زيد كما في ((تفسير الطبري)) </w:t>
      </w:r>
      <w:r>
        <w:rPr>
          <w:rFonts w:ascii="Arabic Typesetting" w:hAnsi="Arabic Typesetting" w:cs="Arabic Typesetting"/>
          <w:sz w:val="36"/>
          <w:szCs w:val="36"/>
          <w:rtl/>
          <w:lang w:bidi="ar-DZ"/>
        </w:rPr>
        <w:t>–</w:t>
      </w:r>
      <w:r>
        <w:rPr>
          <w:rFonts w:ascii="Arabic Typesetting" w:hAnsi="Arabic Typesetting" w:cs="Arabic Typesetting" w:hint="cs"/>
          <w:sz w:val="36"/>
          <w:szCs w:val="36"/>
          <w:rtl/>
          <w:lang w:bidi="ar-DZ"/>
        </w:rPr>
        <w:t xml:space="preserve"> تحقيق التركي (9/234)، وابن أبي حاتم (4/1286)، وقتادة كما في ((زاد الميسر)) لابن الجوزي (3/35)، و((الدر المنثور)) للسيوطي- تحقيق التركي</w:t>
      </w:r>
      <w:r w:rsidR="00AC6E5D">
        <w:rPr>
          <w:rFonts w:ascii="Arabic Typesetting" w:hAnsi="Arabic Typesetting" w:cs="Arabic Typesetting" w:hint="cs"/>
          <w:sz w:val="36"/>
          <w:szCs w:val="36"/>
          <w:rtl/>
          <w:lang w:bidi="ar-DZ"/>
        </w:rPr>
        <w:t xml:space="preserve"> (6/45) ونسبه عبد الرزاق وأبي الشيخ.</w:t>
      </w:r>
    </w:p>
    <w:p w:rsidR="00AC6E5D" w:rsidRDefault="001C743D" w:rsidP="00AC6E5D">
      <w:pPr>
        <w:bidi/>
        <w:rPr>
          <w:rFonts w:ascii="Arabic Typesetting" w:hAnsi="Arabic Typesetting" w:cs="Arabic Typesetting"/>
          <w:sz w:val="36"/>
          <w:szCs w:val="36"/>
          <w:rtl/>
          <w:lang w:bidi="ar-DZ"/>
        </w:rPr>
      </w:pPr>
      <w:r>
        <w:rPr>
          <w:rFonts w:ascii="Arabic Typesetting" w:hAnsi="Arabic Typesetting" w:cs="Arabic Typesetting"/>
          <w:b/>
          <w:bCs/>
          <w:sz w:val="36"/>
          <w:szCs w:val="36"/>
          <w:rtl/>
          <w:lang w:bidi="ar-DZ"/>
        </w:rPr>
        <w:tab/>
      </w:r>
      <w:r w:rsidR="00AC6E5D" w:rsidRPr="0081297E">
        <w:rPr>
          <w:rFonts w:ascii="Arabic Typesetting" w:hAnsi="Arabic Typesetting" w:cs="Arabic Typesetting" w:hint="cs"/>
          <w:b/>
          <w:bCs/>
          <w:sz w:val="36"/>
          <w:szCs w:val="36"/>
          <w:u w:val="single"/>
          <w:rtl/>
          <w:lang w:bidi="ar-DZ"/>
        </w:rPr>
        <w:t>ثالثا</w:t>
      </w:r>
      <w:r w:rsidR="00AC6E5D" w:rsidRPr="00AC6E5D">
        <w:rPr>
          <w:rFonts w:ascii="Arabic Typesetting" w:hAnsi="Arabic Typesetting" w:cs="Arabic Typesetting" w:hint="cs"/>
          <w:b/>
          <w:bCs/>
          <w:sz w:val="36"/>
          <w:szCs w:val="36"/>
          <w:rtl/>
          <w:lang w:bidi="ar-DZ"/>
        </w:rPr>
        <w:t>:</w:t>
      </w:r>
      <w:r w:rsidR="00AC6E5D">
        <w:rPr>
          <w:rFonts w:ascii="Arabic Typesetting" w:hAnsi="Arabic Typesetting" w:cs="Arabic Typesetting" w:hint="cs"/>
          <w:sz w:val="36"/>
          <w:szCs w:val="36"/>
          <w:rtl/>
          <w:lang w:bidi="ar-DZ"/>
        </w:rPr>
        <w:t xml:space="preserve"> اقتصار بعض مشاهير المفسرين على القول به دون غيره</w:t>
      </w:r>
      <w:r w:rsidR="00AC6E5D">
        <w:rPr>
          <w:rStyle w:val="Appelnotedebasdep"/>
          <w:rFonts w:ascii="Arabic Typesetting" w:hAnsi="Arabic Typesetting" w:cs="Arabic Typesetting"/>
          <w:sz w:val="36"/>
          <w:szCs w:val="36"/>
          <w:rtl/>
          <w:lang w:bidi="ar-DZ"/>
        </w:rPr>
        <w:footnoteReference w:id="4"/>
      </w:r>
      <w:r w:rsidR="00AC6E5D">
        <w:rPr>
          <w:rFonts w:ascii="Arabic Typesetting" w:hAnsi="Arabic Typesetting" w:cs="Arabic Typesetting" w:hint="cs"/>
          <w:sz w:val="36"/>
          <w:szCs w:val="36"/>
          <w:rtl/>
          <w:lang w:bidi="ar-DZ"/>
        </w:rPr>
        <w:t>.</w:t>
      </w:r>
    </w:p>
    <w:p w:rsidR="00AC6E5D" w:rsidRDefault="00AC6E5D" w:rsidP="00AC6E5D">
      <w:pPr>
        <w:pStyle w:val="Paragraphedeliste"/>
        <w:numPr>
          <w:ilvl w:val="0"/>
          <w:numId w:val="4"/>
        </w:numPr>
        <w:bidi/>
        <w:rPr>
          <w:rFonts w:ascii="Arabic Typesetting" w:hAnsi="Arabic Typesetting" w:cs="Arabic Typesetting"/>
          <w:sz w:val="36"/>
          <w:szCs w:val="36"/>
          <w:lang w:bidi="ar-DZ"/>
        </w:rPr>
      </w:pPr>
      <w:r>
        <w:rPr>
          <w:rFonts w:ascii="Arabic Typesetting" w:hAnsi="Arabic Typesetting" w:cs="Arabic Typesetting" w:hint="cs"/>
          <w:sz w:val="36"/>
          <w:szCs w:val="36"/>
          <w:rtl/>
          <w:lang w:bidi="ar-DZ"/>
        </w:rPr>
        <w:t>مقاتل ابن سلمان في ((تفسيره)) (1/345).</w:t>
      </w:r>
    </w:p>
    <w:p w:rsidR="00AC6E5D" w:rsidRDefault="00AC6E5D" w:rsidP="00AC6E5D">
      <w:pPr>
        <w:pStyle w:val="Paragraphedeliste"/>
        <w:numPr>
          <w:ilvl w:val="0"/>
          <w:numId w:val="4"/>
        </w:numPr>
        <w:bidi/>
        <w:rPr>
          <w:rFonts w:ascii="Arabic Typesetting" w:hAnsi="Arabic Typesetting" w:cs="Arabic Typesetting"/>
          <w:sz w:val="36"/>
          <w:szCs w:val="36"/>
          <w:lang w:bidi="ar-DZ"/>
        </w:rPr>
      </w:pPr>
      <w:r>
        <w:rPr>
          <w:rFonts w:ascii="Arabic Typesetting" w:hAnsi="Arabic Typesetting" w:cs="Arabic Typesetting" w:hint="cs"/>
          <w:sz w:val="36"/>
          <w:szCs w:val="36"/>
          <w:rtl/>
          <w:lang w:bidi="ar-DZ"/>
        </w:rPr>
        <w:t>ابن جرير الطبري في ((تفسيره)) (9/232).</w:t>
      </w:r>
    </w:p>
    <w:p w:rsidR="00AC6E5D" w:rsidRDefault="00AC6E5D" w:rsidP="00AC6E5D">
      <w:pPr>
        <w:pStyle w:val="Paragraphedeliste"/>
        <w:numPr>
          <w:ilvl w:val="0"/>
          <w:numId w:val="4"/>
        </w:numPr>
        <w:bidi/>
        <w:rPr>
          <w:rFonts w:ascii="Arabic Typesetting" w:hAnsi="Arabic Typesetting" w:cs="Arabic Typesetting"/>
          <w:sz w:val="36"/>
          <w:szCs w:val="36"/>
          <w:lang w:bidi="ar-DZ"/>
        </w:rPr>
      </w:pPr>
      <w:r>
        <w:rPr>
          <w:rFonts w:ascii="Arabic Typesetting" w:hAnsi="Arabic Typesetting" w:cs="Arabic Typesetting" w:hint="cs"/>
          <w:sz w:val="36"/>
          <w:szCs w:val="36"/>
          <w:rtl/>
          <w:lang w:bidi="ar-DZ"/>
        </w:rPr>
        <w:t>ابن أبي حاتم في ((تفسيره)) (4/1286).</w:t>
      </w:r>
    </w:p>
    <w:p w:rsidR="00AC6E5D" w:rsidRDefault="00AC6E5D" w:rsidP="00AC6E5D">
      <w:pPr>
        <w:pStyle w:val="Paragraphedeliste"/>
        <w:numPr>
          <w:ilvl w:val="0"/>
          <w:numId w:val="4"/>
        </w:numPr>
        <w:bidi/>
        <w:rPr>
          <w:rFonts w:ascii="Arabic Typesetting" w:hAnsi="Arabic Typesetting" w:cs="Arabic Typesetting"/>
          <w:sz w:val="36"/>
          <w:szCs w:val="36"/>
          <w:lang w:bidi="ar-DZ"/>
        </w:rPr>
      </w:pPr>
      <w:r>
        <w:rPr>
          <w:rFonts w:ascii="Arabic Typesetting" w:hAnsi="Arabic Typesetting" w:cs="Arabic Typesetting" w:hint="cs"/>
          <w:sz w:val="36"/>
          <w:szCs w:val="36"/>
          <w:rtl/>
          <w:lang w:bidi="ar-DZ"/>
        </w:rPr>
        <w:t>ابن أبي زمنين في ((تفسير القرآن العزيز)) (1/67).</w:t>
      </w:r>
    </w:p>
    <w:p w:rsidR="00AC6E5D" w:rsidRDefault="00AC6E5D" w:rsidP="00AC6E5D">
      <w:pPr>
        <w:pStyle w:val="Paragraphedeliste"/>
        <w:numPr>
          <w:ilvl w:val="0"/>
          <w:numId w:val="4"/>
        </w:numPr>
        <w:bidi/>
        <w:rPr>
          <w:rFonts w:ascii="Arabic Typesetting" w:hAnsi="Arabic Typesetting" w:cs="Arabic Typesetting"/>
          <w:sz w:val="36"/>
          <w:szCs w:val="36"/>
          <w:lang w:bidi="ar-DZ"/>
        </w:rPr>
      </w:pPr>
      <w:r>
        <w:rPr>
          <w:rFonts w:ascii="Arabic Typesetting" w:hAnsi="Arabic Typesetting" w:cs="Arabic Typesetting" w:hint="cs"/>
          <w:sz w:val="36"/>
          <w:szCs w:val="36"/>
          <w:rtl/>
          <w:lang w:bidi="ar-DZ"/>
        </w:rPr>
        <w:t>الثعلبي في ((الكشف والبيان في تفسير القرآن)) (2/532).</w:t>
      </w:r>
    </w:p>
    <w:p w:rsidR="00AC6E5D" w:rsidRDefault="00AC6E5D" w:rsidP="00AC6E5D">
      <w:pPr>
        <w:pStyle w:val="Paragraphedeliste"/>
        <w:numPr>
          <w:ilvl w:val="0"/>
          <w:numId w:val="4"/>
        </w:numPr>
        <w:bidi/>
        <w:rPr>
          <w:rFonts w:ascii="Arabic Typesetting" w:hAnsi="Arabic Typesetting" w:cs="Arabic Typesetting"/>
          <w:sz w:val="36"/>
          <w:szCs w:val="36"/>
          <w:lang w:bidi="ar-DZ"/>
        </w:rPr>
      </w:pPr>
      <w:r>
        <w:rPr>
          <w:rFonts w:ascii="Arabic Typesetting" w:hAnsi="Arabic Typesetting" w:cs="Arabic Typesetting" w:hint="cs"/>
          <w:sz w:val="36"/>
          <w:szCs w:val="36"/>
          <w:rtl/>
          <w:lang w:bidi="ar-DZ"/>
        </w:rPr>
        <w:t>البغوي في ((معالم التنزيل)) (2/95).</w:t>
      </w:r>
    </w:p>
    <w:p w:rsidR="00AC6E5D" w:rsidRDefault="00AC6E5D" w:rsidP="00AC6E5D">
      <w:pPr>
        <w:pStyle w:val="Paragraphedeliste"/>
        <w:numPr>
          <w:ilvl w:val="0"/>
          <w:numId w:val="4"/>
        </w:numPr>
        <w:bidi/>
        <w:rPr>
          <w:rFonts w:ascii="Arabic Typesetting" w:hAnsi="Arabic Typesetting" w:cs="Arabic Typesetting"/>
          <w:sz w:val="36"/>
          <w:szCs w:val="36"/>
          <w:lang w:bidi="ar-DZ"/>
        </w:rPr>
      </w:pPr>
      <w:r>
        <w:rPr>
          <w:rFonts w:ascii="Arabic Typesetting" w:hAnsi="Arabic Typesetting" w:cs="Arabic Typesetting" w:hint="cs"/>
          <w:sz w:val="36"/>
          <w:szCs w:val="36"/>
          <w:rtl/>
          <w:lang w:bidi="ar-DZ"/>
        </w:rPr>
        <w:t>الزمخشري في ((الكشاف)) (2/342).</w:t>
      </w:r>
    </w:p>
    <w:p w:rsidR="00AC6E5D" w:rsidRDefault="00AC6E5D" w:rsidP="00AC6E5D">
      <w:pPr>
        <w:pStyle w:val="Paragraphedeliste"/>
        <w:numPr>
          <w:ilvl w:val="0"/>
          <w:numId w:val="4"/>
        </w:numPr>
        <w:bidi/>
        <w:rPr>
          <w:rFonts w:ascii="Arabic Typesetting" w:hAnsi="Arabic Typesetting" w:cs="Arabic Typesetting"/>
          <w:sz w:val="36"/>
          <w:szCs w:val="36"/>
          <w:lang w:bidi="ar-DZ"/>
        </w:rPr>
      </w:pPr>
      <w:r>
        <w:rPr>
          <w:rFonts w:ascii="Arabic Typesetting" w:hAnsi="Arabic Typesetting" w:cs="Arabic Typesetting" w:hint="cs"/>
          <w:sz w:val="36"/>
          <w:szCs w:val="36"/>
          <w:rtl/>
          <w:lang w:bidi="ar-DZ"/>
        </w:rPr>
        <w:t>ابن كثير في ((تفسير القرآن العظيم)) (3/20).</w:t>
      </w:r>
    </w:p>
    <w:p w:rsidR="00AC6E5D" w:rsidRDefault="00AC6E5D" w:rsidP="00AC6E5D">
      <w:pPr>
        <w:pStyle w:val="Paragraphedeliste"/>
        <w:numPr>
          <w:ilvl w:val="0"/>
          <w:numId w:val="4"/>
        </w:numPr>
        <w:bidi/>
        <w:rPr>
          <w:rFonts w:ascii="Arabic Typesetting" w:hAnsi="Arabic Typesetting" w:cs="Arabic Typesetting"/>
          <w:sz w:val="36"/>
          <w:szCs w:val="36"/>
          <w:lang w:bidi="ar-DZ"/>
        </w:rPr>
      </w:pPr>
      <w:r>
        <w:rPr>
          <w:rFonts w:ascii="Arabic Typesetting" w:hAnsi="Arabic Typesetting" w:cs="Arabic Typesetting" w:hint="cs"/>
          <w:sz w:val="36"/>
          <w:szCs w:val="36"/>
          <w:rtl/>
          <w:lang w:bidi="ar-DZ"/>
        </w:rPr>
        <w:t>القاسمي في ((محاسن التأويل)) (3/305).</w:t>
      </w:r>
    </w:p>
    <w:p w:rsidR="00AC6E5D" w:rsidRDefault="001C743D" w:rsidP="00AC6E5D">
      <w:pPr>
        <w:bidi/>
        <w:rPr>
          <w:rFonts w:ascii="Arabic Typesetting" w:hAnsi="Arabic Typesetting" w:cs="Arabic Typesetting"/>
          <w:sz w:val="36"/>
          <w:szCs w:val="36"/>
          <w:rtl/>
          <w:lang w:bidi="ar-DZ"/>
        </w:rPr>
      </w:pPr>
      <w:r>
        <w:rPr>
          <w:rFonts w:ascii="Arabic Typesetting" w:hAnsi="Arabic Typesetting" w:cs="Arabic Typesetting"/>
          <w:b/>
          <w:bCs/>
          <w:sz w:val="36"/>
          <w:szCs w:val="36"/>
          <w:rtl/>
          <w:lang w:bidi="ar-DZ"/>
        </w:rPr>
        <w:tab/>
      </w:r>
      <w:r w:rsidR="00AC6E5D" w:rsidRPr="0081297E">
        <w:rPr>
          <w:rFonts w:ascii="Arabic Typesetting" w:hAnsi="Arabic Typesetting" w:cs="Arabic Typesetting" w:hint="cs"/>
          <w:b/>
          <w:bCs/>
          <w:sz w:val="36"/>
          <w:szCs w:val="36"/>
          <w:u w:val="single"/>
          <w:rtl/>
          <w:lang w:bidi="ar-DZ"/>
        </w:rPr>
        <w:t>رابعا</w:t>
      </w:r>
      <w:r w:rsidR="00AC6E5D" w:rsidRPr="00AC6E5D">
        <w:rPr>
          <w:rFonts w:ascii="Arabic Typesetting" w:hAnsi="Arabic Typesetting" w:cs="Arabic Typesetting" w:hint="cs"/>
          <w:b/>
          <w:bCs/>
          <w:sz w:val="36"/>
          <w:szCs w:val="36"/>
          <w:rtl/>
          <w:lang w:bidi="ar-DZ"/>
        </w:rPr>
        <w:t>:</w:t>
      </w:r>
      <w:r w:rsidR="00AC6E5D">
        <w:rPr>
          <w:rFonts w:ascii="Arabic Typesetting" w:hAnsi="Arabic Typesetting" w:cs="Arabic Typesetting" w:hint="cs"/>
          <w:sz w:val="36"/>
          <w:szCs w:val="36"/>
          <w:rtl/>
          <w:lang w:bidi="ar-DZ"/>
        </w:rPr>
        <w:t xml:space="preserve"> ترجيح بعض المحققين لهذا القول على الآخر، ونذكر منهم:</w:t>
      </w:r>
    </w:p>
    <w:p w:rsidR="00AC6E5D" w:rsidRDefault="00AC6E5D" w:rsidP="00AC6E5D">
      <w:pPr>
        <w:pStyle w:val="Paragraphedeliste"/>
        <w:numPr>
          <w:ilvl w:val="0"/>
          <w:numId w:val="5"/>
        </w:numPr>
        <w:bidi/>
        <w:rPr>
          <w:rFonts w:ascii="Arabic Typesetting" w:hAnsi="Arabic Typesetting" w:cs="Arabic Typesetting"/>
          <w:sz w:val="36"/>
          <w:szCs w:val="36"/>
          <w:lang w:bidi="ar-DZ"/>
        </w:rPr>
      </w:pPr>
      <w:r>
        <w:rPr>
          <w:rFonts w:ascii="Arabic Typesetting" w:hAnsi="Arabic Typesetting" w:cs="Arabic Typesetting" w:hint="cs"/>
          <w:sz w:val="36"/>
          <w:szCs w:val="36"/>
          <w:rtl/>
          <w:lang w:bidi="ar-DZ"/>
        </w:rPr>
        <w:t>ابن القيم في كتابه ((شفاء العليل)) (طبعة العبيكان) (1/164) فبعد إقراره للخلاف</w:t>
      </w:r>
      <w:r w:rsidR="001C743D">
        <w:rPr>
          <w:rFonts w:ascii="Arabic Typesetting" w:hAnsi="Arabic Typesetting" w:cs="Arabic Typesetting" w:hint="cs"/>
          <w:sz w:val="36"/>
          <w:szCs w:val="36"/>
          <w:rtl/>
          <w:lang w:bidi="ar-DZ"/>
        </w:rPr>
        <w:t xml:space="preserve"> الوارد في معنى الكتاب، هل هو القرآن أو اللوح المحفوظ، رجح الثاني، وقال بأنه الأظهر في الآية، والسياق يدلُّ عليه.</w:t>
      </w:r>
    </w:p>
    <w:p w:rsidR="001C743D" w:rsidRDefault="001C743D" w:rsidP="001C743D">
      <w:pPr>
        <w:pStyle w:val="Paragraphedeliste"/>
        <w:numPr>
          <w:ilvl w:val="0"/>
          <w:numId w:val="5"/>
        </w:numPr>
        <w:bidi/>
        <w:rPr>
          <w:rFonts w:ascii="Arabic Typesetting" w:hAnsi="Arabic Typesetting" w:cs="Arabic Typesetting"/>
          <w:sz w:val="36"/>
          <w:szCs w:val="36"/>
          <w:lang w:bidi="ar-DZ"/>
        </w:rPr>
      </w:pPr>
      <w:r>
        <w:rPr>
          <w:rFonts w:ascii="Arabic Typesetting" w:hAnsi="Arabic Typesetting" w:cs="Arabic Typesetting" w:hint="cs"/>
          <w:sz w:val="36"/>
          <w:szCs w:val="36"/>
          <w:rtl/>
          <w:lang w:bidi="ar-DZ"/>
        </w:rPr>
        <w:t>السعدي في ((تفسيره)) (2/20) يفهم ذلك من بسطه القول في أن المراد به اللوح المحفوظ، وأشار إلى المعنى الثاني بقوله: (ويحتمل أن المراد بالكتاب هنا القرآن).</w:t>
      </w:r>
    </w:p>
    <w:p w:rsidR="001C743D" w:rsidRDefault="001C743D" w:rsidP="001C743D">
      <w:pPr>
        <w:pStyle w:val="Paragraphedeliste"/>
        <w:numPr>
          <w:ilvl w:val="0"/>
          <w:numId w:val="5"/>
        </w:numPr>
        <w:bidi/>
        <w:rPr>
          <w:rFonts w:ascii="Arabic Typesetting" w:hAnsi="Arabic Typesetting" w:cs="Arabic Typesetting"/>
          <w:sz w:val="36"/>
          <w:szCs w:val="36"/>
          <w:lang w:bidi="ar-DZ"/>
        </w:rPr>
      </w:pPr>
      <w:r>
        <w:rPr>
          <w:rFonts w:ascii="Arabic Typesetting" w:hAnsi="Arabic Typesetting" w:cs="Arabic Typesetting" w:hint="cs"/>
          <w:sz w:val="36"/>
          <w:szCs w:val="36"/>
          <w:rtl/>
          <w:lang w:bidi="ar-DZ"/>
        </w:rPr>
        <w:t>القاسمي في ((محاسن التأويل)) (3/307) قال تحت عنوان (تنبيهات): (السَّادس: ما بيناه في معنى (الكتاب) من أنه اللوح المحفوظ في العرش، وعالم السموات المشتمل على جميع أحوال المخلوقات على التفضيل التام-هو الأظهر، لملاقاته للآية التي ذكرناها تأييدا للنظائر القرآنية).</w:t>
      </w:r>
    </w:p>
    <w:p w:rsidR="001C743D" w:rsidRDefault="001C743D" w:rsidP="001C743D">
      <w:pPr>
        <w:pStyle w:val="Paragraphedeliste"/>
        <w:numPr>
          <w:ilvl w:val="0"/>
          <w:numId w:val="5"/>
        </w:numPr>
        <w:bidi/>
        <w:rPr>
          <w:rFonts w:ascii="Arabic Typesetting" w:hAnsi="Arabic Typesetting" w:cs="Arabic Typesetting"/>
          <w:sz w:val="36"/>
          <w:szCs w:val="36"/>
          <w:lang w:bidi="ar-DZ"/>
        </w:rPr>
      </w:pPr>
      <w:r>
        <w:rPr>
          <w:rFonts w:ascii="Arabic Typesetting" w:hAnsi="Arabic Typesetting" w:cs="Arabic Typesetting" w:hint="cs"/>
          <w:sz w:val="36"/>
          <w:szCs w:val="36"/>
          <w:rtl/>
          <w:lang w:bidi="ar-DZ"/>
        </w:rPr>
        <w:t>الأمين الشنقيطي في ((العذب المنير)) (1/271) قال: (أكثر المحققين على أنه اللوح المحفوظ).</w:t>
      </w:r>
      <w:bookmarkStart w:id="0" w:name="_GoBack"/>
      <w:bookmarkEnd w:id="0"/>
    </w:p>
    <w:p w:rsidR="001C743D" w:rsidRDefault="001C743D" w:rsidP="001C743D">
      <w:pPr>
        <w:bidi/>
        <w:rPr>
          <w:rFonts w:ascii="Arabic Typesetting" w:hAnsi="Arabic Typesetting" w:cs="Arabic Typesetting"/>
          <w:sz w:val="36"/>
          <w:szCs w:val="36"/>
          <w:rtl/>
          <w:lang w:bidi="ar-DZ"/>
        </w:rPr>
      </w:pPr>
      <w:r>
        <w:rPr>
          <w:rFonts w:ascii="Arabic Typesetting" w:hAnsi="Arabic Typesetting" w:cs="Arabic Typesetting"/>
          <w:sz w:val="36"/>
          <w:szCs w:val="36"/>
          <w:rtl/>
          <w:lang w:bidi="ar-DZ"/>
        </w:rPr>
        <w:tab/>
      </w:r>
      <w:r w:rsidRPr="0081297E">
        <w:rPr>
          <w:rFonts w:ascii="Arabic Typesetting" w:hAnsi="Arabic Typesetting" w:cs="Arabic Typesetting" w:hint="cs"/>
          <w:b/>
          <w:bCs/>
          <w:sz w:val="36"/>
          <w:szCs w:val="36"/>
          <w:u w:val="single"/>
          <w:rtl/>
          <w:lang w:bidi="ar-DZ"/>
        </w:rPr>
        <w:t>خامسا:</w:t>
      </w:r>
      <w:r>
        <w:rPr>
          <w:rFonts w:ascii="Arabic Typesetting" w:hAnsi="Arabic Typesetting" w:cs="Arabic Typesetting" w:hint="cs"/>
          <w:sz w:val="36"/>
          <w:szCs w:val="36"/>
          <w:rtl/>
          <w:lang w:bidi="ar-DZ"/>
        </w:rPr>
        <w:t xml:space="preserve"> حجة </w:t>
      </w:r>
      <w:proofErr w:type="gramStart"/>
      <w:r>
        <w:rPr>
          <w:rFonts w:ascii="Arabic Typesetting" w:hAnsi="Arabic Typesetting" w:cs="Arabic Typesetting" w:hint="cs"/>
          <w:sz w:val="36"/>
          <w:szCs w:val="36"/>
          <w:rtl/>
          <w:lang w:bidi="ar-DZ"/>
        </w:rPr>
        <w:t>من</w:t>
      </w:r>
      <w:proofErr w:type="gramEnd"/>
      <w:r>
        <w:rPr>
          <w:rFonts w:ascii="Arabic Typesetting" w:hAnsi="Arabic Typesetting" w:cs="Arabic Typesetting" w:hint="cs"/>
          <w:sz w:val="36"/>
          <w:szCs w:val="36"/>
          <w:rtl/>
          <w:lang w:bidi="ar-DZ"/>
        </w:rPr>
        <w:t xml:space="preserve"> نصر القول على أنه اللوح المحفوظ. وقد عرض لبعض هذه الحجج العلامة ابن القيم في كتابه المذكور آنفا، وستسوقها بشيِء من التصرف والتقديم والتأخير.</w:t>
      </w:r>
    </w:p>
    <w:p w:rsidR="001C743D" w:rsidRDefault="001C743D" w:rsidP="001C743D">
      <w:pPr>
        <w:bidi/>
        <w:rPr>
          <w:rFonts w:ascii="Arabic Typesetting" w:hAnsi="Arabic Typesetting" w:cs="Arabic Typesetting"/>
          <w:sz w:val="36"/>
          <w:szCs w:val="36"/>
          <w:rtl/>
          <w:lang w:bidi="ar-DZ"/>
        </w:rPr>
      </w:pPr>
    </w:p>
    <w:p w:rsidR="00755284" w:rsidRPr="00755284" w:rsidRDefault="001C743D" w:rsidP="00755284">
      <w:pPr>
        <w:pStyle w:val="Paragraphedeliste"/>
        <w:numPr>
          <w:ilvl w:val="0"/>
          <w:numId w:val="6"/>
        </w:numPr>
        <w:bidi/>
        <w:ind w:left="360"/>
        <w:rPr>
          <w:rFonts w:ascii="Arabic Typesetting" w:hAnsi="Arabic Typesetting" w:cs="Arabic Typesetting"/>
          <w:sz w:val="36"/>
          <w:szCs w:val="36"/>
          <w:lang w:bidi="ar-DZ"/>
        </w:rPr>
      </w:pPr>
      <w:r w:rsidRPr="00755284">
        <w:rPr>
          <w:rFonts w:ascii="Arabic Typesetting" w:hAnsi="Arabic Typesetting" w:cs="Arabic Typesetting" w:hint="cs"/>
          <w:sz w:val="36"/>
          <w:szCs w:val="36"/>
          <w:rtl/>
          <w:lang w:bidi="ar-DZ"/>
        </w:rPr>
        <w:t xml:space="preserve">دلالة السياق عليه في الآية نفسها: فإنه تعالى قال: </w:t>
      </w:r>
      <w:r w:rsidR="00755284" w:rsidRPr="00755284">
        <w:rPr>
          <w:rFonts w:ascii="AAA GoldenLotus" w:hAnsi="AAA GoldenLotus" w:cs="AAA GoldenLotus"/>
          <w:color w:val="008000"/>
          <w:sz w:val="28"/>
          <w:szCs w:val="28"/>
          <w:rtl/>
        </w:rPr>
        <w:t xml:space="preserve">﴿وما مِنْ دابّةٍ فِي الْأرْضِ ولا طائِرٍ يطِير بِجناحيْهِ إِلّا أممٌ أمْثالكمْ </w:t>
      </w:r>
      <w:r w:rsidR="00755284" w:rsidRPr="00755284">
        <w:rPr>
          <w:rFonts w:ascii="Times New Roman" w:hAnsi="Times New Roman" w:cs="Times New Roman" w:hint="cs"/>
          <w:color w:val="008000"/>
          <w:sz w:val="28"/>
          <w:szCs w:val="28"/>
          <w:rtl/>
        </w:rPr>
        <w:t>ۚ</w:t>
      </w:r>
      <w:r w:rsidR="00755284" w:rsidRPr="00755284">
        <w:rPr>
          <w:rFonts w:ascii="AAA GoldenLotus" w:hAnsi="AAA GoldenLotus" w:cs="AAA GoldenLotus" w:hint="cs"/>
          <w:color w:val="008000"/>
          <w:sz w:val="28"/>
          <w:szCs w:val="28"/>
          <w:rtl/>
        </w:rPr>
        <w:t>﴾</w:t>
      </w:r>
      <w:r w:rsidR="00755284" w:rsidRPr="00755284">
        <w:rPr>
          <w:rFonts w:ascii="AAA GoldenLotus" w:hAnsi="AAA GoldenLotus" w:cs="AAA GoldenLotus"/>
          <w:color w:val="008000"/>
          <w:sz w:val="28"/>
          <w:szCs w:val="28"/>
          <w:rtl/>
        </w:rPr>
        <w:t>[ الأنعام:38]</w:t>
      </w:r>
      <w:r w:rsidR="00755284" w:rsidRPr="00755284">
        <w:rPr>
          <w:rFonts w:ascii="AAA GoldenLotus" w:hAnsi="AAA GoldenLotus" w:cs="AAA GoldenLotus" w:hint="cs"/>
          <w:color w:val="008000"/>
          <w:sz w:val="28"/>
          <w:szCs w:val="28"/>
          <w:rtl/>
        </w:rPr>
        <w:t xml:space="preserve">  </w:t>
      </w:r>
    </w:p>
    <w:p w:rsidR="001C743D" w:rsidRDefault="00755284" w:rsidP="00132018">
      <w:pPr>
        <w:pStyle w:val="Paragraphedeliste"/>
        <w:bidi/>
        <w:ind w:left="360"/>
        <w:rPr>
          <w:rFonts w:ascii="AAA GoldenLotus" w:hAnsi="AAA GoldenLotus" w:cs="AAA GoldenLotus"/>
          <w:color w:val="000000" w:themeColor="text1"/>
          <w:sz w:val="28"/>
          <w:szCs w:val="28"/>
          <w:rtl/>
        </w:rPr>
      </w:pPr>
      <w:r w:rsidRPr="00755284">
        <w:rPr>
          <w:rFonts w:ascii="AAA GoldenLotus" w:hAnsi="AAA GoldenLotus" w:cs="AAA GoldenLotus" w:hint="cs"/>
          <w:color w:val="000000" w:themeColor="text1"/>
          <w:sz w:val="28"/>
          <w:szCs w:val="28"/>
          <w:rtl/>
        </w:rPr>
        <w:t xml:space="preserve">قال ابن القيم (1/164): </w:t>
      </w:r>
      <w:r w:rsidR="00132018">
        <w:rPr>
          <w:rFonts w:ascii="AAA GoldenLotus" w:hAnsi="AAA GoldenLotus" w:cs="AAA GoldenLotus" w:hint="cs"/>
          <w:color w:val="000000" w:themeColor="text1"/>
          <w:sz w:val="28"/>
          <w:szCs w:val="28"/>
          <w:rtl/>
        </w:rPr>
        <w:t xml:space="preserve">(( وهذا يتضمن أنها أمم أمثالنا في الخلق والرزق والأجل والتقدير الأوَّل، وأنها لم تخلق سدىً، بل هي معبَّدة مذللَّة، قد قدر خلقها وأجلها ورزقها وما تصير إليه، ثم ذكر عاقبتها ومصيرها بعد فنائها، فقال: </w:t>
      </w:r>
      <w:r w:rsidR="00132018">
        <w:rPr>
          <w:rFonts w:ascii="AAA GoldenLotus" w:hAnsi="AAA GoldenLotus" w:cs="AAA GoldenLotus"/>
          <w:color w:val="008000"/>
          <w:sz w:val="28"/>
          <w:szCs w:val="28"/>
          <w:rtl/>
        </w:rPr>
        <w:t>﴿ ثمّ إِلىٰ ربِّهِمْ يحْشرون﴾[ الأنعام:38]</w:t>
      </w:r>
      <w:r w:rsidR="00132018">
        <w:rPr>
          <w:rFonts w:ascii="AAA GoldenLotus" w:hAnsi="AAA GoldenLotus" w:cs="AAA GoldenLotus" w:hint="cs"/>
          <w:color w:val="008000"/>
          <w:sz w:val="28"/>
          <w:szCs w:val="28"/>
          <w:rtl/>
        </w:rPr>
        <w:t xml:space="preserve"> </w:t>
      </w:r>
      <w:r w:rsidR="00132018">
        <w:rPr>
          <w:rFonts w:ascii="AAA GoldenLotus" w:hAnsi="AAA GoldenLotus" w:cs="AAA GoldenLotus" w:hint="cs"/>
          <w:color w:val="000000" w:themeColor="text1"/>
          <w:sz w:val="28"/>
          <w:szCs w:val="28"/>
          <w:rtl/>
        </w:rPr>
        <w:t>فذكر مبدئها ونهايتها وأدخل بين هاتين الحالتين قوله:</w:t>
      </w:r>
      <w:r w:rsidR="00F10567" w:rsidRPr="00F10567">
        <w:rPr>
          <w:rFonts w:ascii="AAA GoldenLotus" w:hAnsi="AAA GoldenLotus" w:cs="AAA GoldenLotus"/>
          <w:color w:val="008000"/>
          <w:sz w:val="28"/>
          <w:szCs w:val="28"/>
          <w:rtl/>
        </w:rPr>
        <w:t xml:space="preserve"> </w:t>
      </w:r>
      <w:r w:rsidR="00F10567">
        <w:rPr>
          <w:rFonts w:ascii="AAA GoldenLotus" w:hAnsi="AAA GoldenLotus" w:cs="AAA GoldenLotus"/>
          <w:color w:val="008000"/>
          <w:sz w:val="28"/>
          <w:szCs w:val="28"/>
          <w:rtl/>
        </w:rPr>
        <w:t xml:space="preserve">﴿ما فرّطْنا فِي الْكِتابِ مِنْ شيْءٍ </w:t>
      </w:r>
      <w:r w:rsidR="00F10567">
        <w:rPr>
          <w:rFonts w:ascii="AAA GoldenLotus" w:hAnsi="AAA GoldenLotus" w:cs="AAA GoldenLotus" w:hint="cs"/>
          <w:color w:val="008000"/>
          <w:sz w:val="28"/>
          <w:szCs w:val="28"/>
          <w:rtl/>
        </w:rPr>
        <w:t>﴾</w:t>
      </w:r>
      <w:r w:rsidR="00F10567">
        <w:rPr>
          <w:rFonts w:ascii="AAA GoldenLotus" w:hAnsi="AAA GoldenLotus" w:cs="AAA GoldenLotus"/>
          <w:color w:val="008000"/>
          <w:sz w:val="28"/>
          <w:szCs w:val="28"/>
          <w:rtl/>
        </w:rPr>
        <w:t>[ الأنعام:38]</w:t>
      </w:r>
      <w:r w:rsidR="00132018">
        <w:rPr>
          <w:rFonts w:ascii="AAA GoldenLotus" w:hAnsi="AAA GoldenLotus" w:cs="AAA GoldenLotus" w:hint="cs"/>
          <w:color w:val="000000" w:themeColor="text1"/>
          <w:sz w:val="28"/>
          <w:szCs w:val="28"/>
          <w:rtl/>
        </w:rPr>
        <w:t xml:space="preserve">  ،أي كلها  قد كتبت وقدرت وأحصيت قبل أن توجد، فلا يناسب هذا ذكر كتاب الأمر والنهي، وإنما يناسب ذكر الكتاب الأول)).</w:t>
      </w:r>
    </w:p>
    <w:p w:rsidR="00132018" w:rsidRDefault="00132018" w:rsidP="00132018">
      <w:pPr>
        <w:pStyle w:val="Paragraphedeliste"/>
        <w:bidi/>
        <w:ind w:left="360"/>
        <w:rPr>
          <w:rFonts w:ascii="AAA GoldenLotus" w:hAnsi="AAA GoldenLotus" w:cs="AAA GoldenLotus"/>
          <w:color w:val="000000" w:themeColor="text1"/>
          <w:sz w:val="28"/>
          <w:szCs w:val="28"/>
          <w:rtl/>
        </w:rPr>
      </w:pPr>
      <w:r>
        <w:rPr>
          <w:rFonts w:ascii="AAA GoldenLotus" w:hAnsi="AAA GoldenLotus" w:cs="AAA GoldenLotus"/>
          <w:color w:val="000000" w:themeColor="text1"/>
          <w:sz w:val="28"/>
          <w:szCs w:val="28"/>
          <w:rtl/>
        </w:rPr>
        <w:tab/>
      </w:r>
      <w:r w:rsidR="00F10567">
        <w:rPr>
          <w:rFonts w:ascii="AAA GoldenLotus" w:hAnsi="AAA GoldenLotus" w:cs="AAA GoldenLotus" w:hint="cs"/>
          <w:color w:val="000000" w:themeColor="text1"/>
          <w:sz w:val="28"/>
          <w:szCs w:val="28"/>
          <w:rtl/>
        </w:rPr>
        <w:t>أقول: ومن القواعد في التفسير التي تشهد لهذا المعنى الذي ذهب إليه ابن القيم أنه ((</w:t>
      </w:r>
      <w:r w:rsidR="00F10567" w:rsidRPr="00030680">
        <w:rPr>
          <w:rFonts w:ascii="AAA GoldenLotus" w:hAnsi="AAA GoldenLotus" w:cs="AAA GoldenLotus" w:hint="cs"/>
          <w:color w:val="FF0000"/>
          <w:sz w:val="28"/>
          <w:szCs w:val="28"/>
          <w:rtl/>
        </w:rPr>
        <w:t>إذا كان للاسم الواحد معانٍ عدَّة حمل في كل موضع على ما يقتضيه السياق</w:t>
      </w:r>
      <w:r w:rsidR="00F10567">
        <w:rPr>
          <w:rFonts w:ascii="AAA GoldenLotus" w:hAnsi="AAA GoldenLotus" w:cs="AAA GoldenLotus" w:hint="cs"/>
          <w:color w:val="000000" w:themeColor="text1"/>
          <w:sz w:val="28"/>
          <w:szCs w:val="28"/>
          <w:rtl/>
        </w:rPr>
        <w:t>))</w:t>
      </w:r>
      <w:r w:rsidR="00F10567">
        <w:rPr>
          <w:rStyle w:val="Appelnotedebasdep"/>
          <w:rFonts w:ascii="AAA GoldenLotus" w:hAnsi="AAA GoldenLotus" w:cs="AAA GoldenLotus"/>
          <w:color w:val="000000" w:themeColor="text1"/>
          <w:sz w:val="28"/>
          <w:szCs w:val="28"/>
          <w:rtl/>
        </w:rPr>
        <w:footnoteReference w:id="5"/>
      </w:r>
      <w:r w:rsidR="00F10567">
        <w:rPr>
          <w:rFonts w:ascii="AAA GoldenLotus" w:hAnsi="AAA GoldenLotus" w:cs="AAA GoldenLotus" w:hint="cs"/>
          <w:color w:val="000000" w:themeColor="text1"/>
          <w:sz w:val="28"/>
          <w:szCs w:val="28"/>
          <w:rtl/>
        </w:rPr>
        <w:t xml:space="preserve"> ولا يخفى أن من معاني الكتاب القرآن كما في مواضع كثيرة من القرآن، بل هو من أخص أسمائه، وأما هنا في آية الأنعام فإن السياق لا يدل عليه فلا يتعين الجزم به، وعليه فإنَّ ما ادَّعاه الفخر الرَّازي في ((تفسيره)) (12/215) من أن المراد بالكتاب في الآية هو القرآن وأنه الأظهر، بحجة أن الألف واللام إذا دخلا على الاسم المفرد انصرف إلى المعهود السَّابق، والمعهود السابق من الكتاب عند المسلمين هو القرآن، فليس بمسلَّم، وأبعد من قول الرَّازي قول ابن عطية وأبي حيَّان إذ ادّعيا أنَّ سياق الآية يدُّل عليه ويقتضيه، وقد مر.</w:t>
      </w:r>
    </w:p>
    <w:p w:rsidR="00F10567" w:rsidRDefault="00F10567" w:rsidP="00F10567">
      <w:pPr>
        <w:pStyle w:val="Paragraphedeliste"/>
        <w:bidi/>
        <w:ind w:left="360"/>
        <w:rPr>
          <w:rFonts w:ascii="AAA GoldenLotus" w:hAnsi="AAA GoldenLotus" w:cs="AAA GoldenLotus"/>
          <w:color w:val="000000" w:themeColor="text1"/>
          <w:sz w:val="28"/>
          <w:szCs w:val="28"/>
          <w:rtl/>
        </w:rPr>
      </w:pPr>
      <w:r>
        <w:rPr>
          <w:rFonts w:ascii="AAA GoldenLotus" w:hAnsi="AAA GoldenLotus" w:cs="AAA GoldenLotus"/>
          <w:color w:val="000000" w:themeColor="text1"/>
          <w:sz w:val="28"/>
          <w:szCs w:val="28"/>
          <w:rtl/>
        </w:rPr>
        <w:tab/>
      </w:r>
      <w:r>
        <w:rPr>
          <w:rFonts w:ascii="AAA GoldenLotus" w:hAnsi="AAA GoldenLotus" w:cs="AAA GoldenLotus" w:hint="cs"/>
          <w:color w:val="000000" w:themeColor="text1"/>
          <w:sz w:val="28"/>
          <w:szCs w:val="28"/>
          <w:rtl/>
        </w:rPr>
        <w:t>وممن استبعد أن يكون لفذ الكتاب هنا القرآن الطاهر بن عاشور في ((التحرير والتنوير)) (7/217) مع أنه لم يشر إشارة صريحة إلى أن المعنى الرَّاجح</w:t>
      </w:r>
      <w:r w:rsidR="00030680">
        <w:rPr>
          <w:rFonts w:ascii="AAA GoldenLotus" w:hAnsi="AAA GoldenLotus" w:cs="AAA GoldenLotus" w:hint="cs"/>
          <w:color w:val="000000" w:themeColor="text1"/>
          <w:sz w:val="28"/>
          <w:szCs w:val="28"/>
          <w:rtl/>
        </w:rPr>
        <w:t xml:space="preserve"> الذي هو اللوح المحفوظ،  واختار القول بأنَّ الكتاب هنا بمعنى المكتوب وهو المكنى عنه بالقلم، فقال في تفسيره: ((وقيل: الكتاب القرآن، وهذا بعيد إذ لا مناسبة بالغرض على هذا التفسير)).</w:t>
      </w:r>
    </w:p>
    <w:p w:rsidR="00030680" w:rsidRPr="00607460" w:rsidRDefault="00030680" w:rsidP="0081297E">
      <w:pPr>
        <w:pStyle w:val="Paragraphedeliste"/>
        <w:numPr>
          <w:ilvl w:val="0"/>
          <w:numId w:val="6"/>
        </w:numPr>
        <w:bidi/>
        <w:ind w:left="390" w:hanging="142"/>
        <w:rPr>
          <w:rFonts w:ascii="Arabic Typesetting" w:hAnsi="Arabic Typesetting" w:cs="Arabic Typesetting" w:hint="cs"/>
          <w:color w:val="000000" w:themeColor="text1"/>
          <w:sz w:val="36"/>
          <w:szCs w:val="36"/>
          <w:lang w:bidi="ar-DZ"/>
        </w:rPr>
      </w:pPr>
      <w:r>
        <w:rPr>
          <w:rFonts w:ascii="AAA GoldenLotus" w:hAnsi="AAA GoldenLotus" w:cs="AAA GoldenLotus" w:hint="cs"/>
          <w:color w:val="000000" w:themeColor="text1"/>
          <w:sz w:val="28"/>
          <w:szCs w:val="28"/>
          <w:rtl/>
        </w:rPr>
        <w:t xml:space="preserve">دلالة السياق على المعنى في الآية التي قبلها وهي قوله تعالى: </w:t>
      </w:r>
      <w:r>
        <w:rPr>
          <w:rFonts w:ascii="AAA GoldenLotus" w:hAnsi="AAA GoldenLotus" w:cs="AAA GoldenLotus"/>
          <w:color w:val="008000"/>
          <w:sz w:val="28"/>
          <w:szCs w:val="28"/>
          <w:rtl/>
        </w:rPr>
        <w:t xml:space="preserve">﴿وقالوا لوْلا نزِّل عليْهِ آيةٌ مِنْ ربِّهِ </w:t>
      </w:r>
      <w:r>
        <w:rPr>
          <w:rFonts w:ascii="Times New Roman" w:hAnsi="Times New Roman" w:cs="Times New Roman" w:hint="cs"/>
          <w:color w:val="008000"/>
          <w:sz w:val="28"/>
          <w:szCs w:val="28"/>
          <w:rtl/>
        </w:rPr>
        <w:t>ۚ</w:t>
      </w:r>
      <w:r>
        <w:rPr>
          <w:rFonts w:ascii="AAA GoldenLotus" w:hAnsi="AAA GoldenLotus" w:cs="AAA GoldenLotus"/>
          <w:color w:val="008000"/>
          <w:sz w:val="28"/>
          <w:szCs w:val="28"/>
          <w:rtl/>
        </w:rPr>
        <w:t xml:space="preserve"> قلْ إِنّ اللّه قادِرٌ علىٰ أنْ ينزِّل آيةً ولٰكِنّ أكْثرهمْ لا يعْلمون﴾[ الأنعام:37</w:t>
      </w:r>
      <w:r w:rsidRPr="00030680">
        <w:rPr>
          <w:rFonts w:ascii="AAA GoldenLotus" w:hAnsi="AAA GoldenLotus" w:cs="AAA GoldenLotus"/>
          <w:color w:val="000000" w:themeColor="text1"/>
          <w:sz w:val="28"/>
          <w:szCs w:val="28"/>
          <w:rtl/>
        </w:rPr>
        <w:t>]</w:t>
      </w:r>
      <w:r w:rsidRPr="00030680">
        <w:rPr>
          <w:rFonts w:ascii="AAA GoldenLotus" w:hAnsi="AAA GoldenLotus" w:cs="AAA GoldenLotus" w:hint="cs"/>
          <w:color w:val="000000" w:themeColor="text1"/>
          <w:sz w:val="28"/>
          <w:szCs w:val="28"/>
          <w:rtl/>
        </w:rPr>
        <w:t xml:space="preserve"> والمراد بقوله:</w:t>
      </w:r>
      <w:r>
        <w:rPr>
          <w:rFonts w:ascii="AAA GoldenLotus" w:hAnsi="AAA GoldenLotus" w:cs="AAA GoldenLotus" w:hint="cs"/>
          <w:color w:val="008000"/>
          <w:sz w:val="28"/>
          <w:szCs w:val="28"/>
          <w:rtl/>
        </w:rPr>
        <w:t xml:space="preserve"> </w:t>
      </w:r>
      <w:r>
        <w:rPr>
          <w:rFonts w:ascii="AAA GoldenLotus" w:hAnsi="AAA GoldenLotus" w:cs="AAA GoldenLotus"/>
          <w:color w:val="008000"/>
          <w:sz w:val="28"/>
          <w:szCs w:val="28"/>
          <w:rtl/>
        </w:rPr>
        <w:t>﴿وقالوا لوْلا نزِّل عليْهِ آيةٌ مِنْ ربِّهِ﴾</w:t>
      </w:r>
      <w:r>
        <w:rPr>
          <w:rFonts w:ascii="AAA GoldenLotus" w:hAnsi="AAA GoldenLotus" w:cs="AAA GoldenLotus" w:hint="cs"/>
          <w:color w:val="008000"/>
          <w:sz w:val="28"/>
          <w:szCs w:val="28"/>
          <w:rtl/>
        </w:rPr>
        <w:t xml:space="preserve"> </w:t>
      </w:r>
      <w:r>
        <w:rPr>
          <w:rFonts w:ascii="AAA GoldenLotus" w:hAnsi="AAA GoldenLotus" w:cs="AAA GoldenLotus" w:hint="cs"/>
          <w:sz w:val="28"/>
          <w:szCs w:val="28"/>
          <w:rtl/>
        </w:rPr>
        <w:t>كما قال ابن كثير في ((تفسيره)): (3/60) أي ((خارق على مقتضى ما كانوا يريدون ومما يتعنتون))، وهذا ينفي قول من قال إن المراد بالآية المنزَّلة هو القرآن، ويرجح القول بأنه اللوح المحفوظ، ووجه الترجيح كما قال ابن القيم أنهم ((لما سألوا الآية أخبرهم سبحانه بأنه لم يترك إنزالها لعدم قدرته على ذلك، فإنه قا</w:t>
      </w:r>
      <w:r w:rsidR="002D7DA3">
        <w:rPr>
          <w:rFonts w:ascii="AAA GoldenLotus" w:hAnsi="AAA GoldenLotus" w:cs="AAA GoldenLotus" w:hint="cs"/>
          <w:sz w:val="28"/>
          <w:szCs w:val="28"/>
          <w:rtl/>
        </w:rPr>
        <w:t>در على ذلك، وإنما لم ينزلها لحكمته ورحمته بهم وإحسانه إليهم، إذ لو أنزلها على وقف اقتراحهم لعوجلوا بالعقوبة إن لم يؤمنوا،</w:t>
      </w:r>
      <w:r w:rsidR="003C256A">
        <w:rPr>
          <w:rFonts w:ascii="AAA GoldenLotus" w:hAnsi="AAA GoldenLotus" w:cs="AAA GoldenLotus" w:hint="cs"/>
          <w:sz w:val="28"/>
          <w:szCs w:val="28"/>
          <w:rtl/>
        </w:rPr>
        <w:t xml:space="preserve"> ثم ذكر ما يدل على كمال قدرته بخلق الأمم العظيمة التي لا يحصي عددها إلا هو، فمن قدر على خلق هذه الأمم مع اختلاف أجناسها وأنواعها  وصفاتها وهيئاتها كيف يعجز عن إنزال آية</w:t>
      </w:r>
      <w:r w:rsidR="003C256A">
        <w:rPr>
          <w:rFonts w:ascii="Times New Roman" w:hAnsi="Times New Roman" w:cs="Times New Roman" w:hint="cs"/>
          <w:sz w:val="28"/>
          <w:szCs w:val="28"/>
          <w:rtl/>
        </w:rPr>
        <w:t> </w:t>
      </w:r>
      <w:r w:rsidR="003C256A">
        <w:rPr>
          <w:rFonts w:ascii="AAA GoldenLotus" w:hAnsi="AAA GoldenLotus" w:cs="AAA GoldenLotus"/>
          <w:sz w:val="28"/>
          <w:szCs w:val="28"/>
        </w:rPr>
        <w:t>!</w:t>
      </w:r>
      <w:r w:rsidR="003C256A">
        <w:rPr>
          <w:rFonts w:ascii="AAA GoldenLotus" w:hAnsi="AAA GoldenLotus" w:cs="AAA GoldenLotus" w:hint="cs"/>
          <w:sz w:val="28"/>
          <w:szCs w:val="28"/>
          <w:rtl/>
          <w:lang w:bidi="ar-DZ"/>
        </w:rPr>
        <w:t xml:space="preserve"> ثمَّ أخبر عن كمال قدرته وعلمه بأن هؤلاء الأمم قد أحصاهم، وكتبهم وقدَّر أرزاقهم وآجالهم وأحوالهم في كتاب لم يفرط فيه من شيء، ثم يميتهم ثم يحشرهم إليه</w:t>
      </w:r>
      <w:r w:rsidR="00607460">
        <w:rPr>
          <w:rFonts w:ascii="AAA GoldenLotus" w:hAnsi="AAA GoldenLotus" w:cs="AAA GoldenLotus" w:hint="cs"/>
          <w:sz w:val="28"/>
          <w:szCs w:val="28"/>
          <w:rtl/>
          <w:lang w:bidi="ar-DZ"/>
        </w:rPr>
        <w:t xml:space="preserve"> </w:t>
      </w:r>
      <w:r w:rsidR="00607460">
        <w:rPr>
          <w:rFonts w:ascii="AAA GoldenLotus" w:hAnsi="AAA GoldenLotus" w:cs="AAA GoldenLotus"/>
          <w:color w:val="008000"/>
          <w:sz w:val="28"/>
          <w:szCs w:val="28"/>
          <w:rtl/>
        </w:rPr>
        <w:t>﴿والّذِين كذّبوا بِآياتِنا صمٌّ وبكْمٌ فِي الظّلماتِ﴾[ الأنعام:39]</w:t>
      </w:r>
      <w:r w:rsidR="00607460">
        <w:rPr>
          <w:rFonts w:ascii="AAA GoldenLotus" w:hAnsi="AAA GoldenLotus" w:cs="AAA GoldenLotus" w:hint="cs"/>
          <w:color w:val="008000"/>
          <w:sz w:val="28"/>
          <w:szCs w:val="28"/>
          <w:rtl/>
        </w:rPr>
        <w:t xml:space="preserve"> </w:t>
      </w:r>
      <w:r w:rsidR="00607460" w:rsidRPr="00607460">
        <w:rPr>
          <w:rFonts w:ascii="AAA GoldenLotus" w:hAnsi="AAA GoldenLotus" w:cs="AAA GoldenLotus" w:hint="cs"/>
          <w:sz w:val="28"/>
          <w:szCs w:val="28"/>
          <w:rtl/>
        </w:rPr>
        <w:t xml:space="preserve">عن النظر والاعتبار الذي يؤذيهم إلى معرفة ربوبيته ووحدانية وصدق رسله، ثم أخبر أن الآيات لا تستقل بالهدى ولو أنزلها على وفق اقتراح البشر، بل الأمر كله له </w:t>
      </w:r>
      <w:r w:rsidR="00607460">
        <w:rPr>
          <w:rFonts w:ascii="AAA GoldenLotus" w:hAnsi="AAA GoldenLotus" w:cs="AAA GoldenLotus"/>
          <w:color w:val="008000"/>
          <w:sz w:val="28"/>
          <w:szCs w:val="28"/>
          <w:rtl/>
        </w:rPr>
        <w:t>﴿منْ يشإِ اللّه يضْلِلْه ومنْ يشأْ يجْعلْه علىٰ صِراطٍ مسْتقِيمٍ﴾[ الأنعام:39]</w:t>
      </w:r>
      <w:r w:rsidR="00607460">
        <w:rPr>
          <w:rFonts w:ascii="AAA GoldenLotus" w:hAnsi="AAA GoldenLotus" w:cs="AAA GoldenLotus" w:hint="cs"/>
          <w:color w:val="008000"/>
          <w:sz w:val="28"/>
          <w:szCs w:val="28"/>
          <w:rtl/>
        </w:rPr>
        <w:t xml:space="preserve">  </w:t>
      </w:r>
      <w:r w:rsidR="00607460">
        <w:rPr>
          <w:rFonts w:ascii="AAA GoldenLotus" w:hAnsi="AAA GoldenLotus" w:cs="AAA GoldenLotus" w:hint="cs"/>
          <w:sz w:val="28"/>
          <w:szCs w:val="28"/>
          <w:rtl/>
        </w:rPr>
        <w:t>فهو أظهر القولين والله أعلم</w:t>
      </w:r>
      <w:r w:rsidR="00607460">
        <w:rPr>
          <w:rStyle w:val="Appelnotedebasdep"/>
          <w:rFonts w:ascii="AAA GoldenLotus" w:hAnsi="AAA GoldenLotus" w:cs="AAA GoldenLotus"/>
          <w:sz w:val="28"/>
          <w:szCs w:val="28"/>
          <w:rtl/>
        </w:rPr>
        <w:footnoteReference w:id="6"/>
      </w:r>
      <w:r w:rsidR="00607460">
        <w:rPr>
          <w:rFonts w:ascii="AAA GoldenLotus" w:hAnsi="AAA GoldenLotus" w:cs="AAA GoldenLotus" w:hint="cs"/>
          <w:sz w:val="28"/>
          <w:szCs w:val="28"/>
          <w:rtl/>
        </w:rPr>
        <w:t>.</w:t>
      </w:r>
    </w:p>
    <w:p w:rsidR="00607460" w:rsidRDefault="00607460" w:rsidP="004523D2">
      <w:pPr>
        <w:pStyle w:val="Paragraphedeliste"/>
        <w:bidi/>
        <w:ind w:left="390"/>
        <w:rPr>
          <w:rFonts w:ascii="AAA GoldenLotus" w:hAnsi="AAA GoldenLotus" w:cs="AAA GoldenLotus" w:hint="cs"/>
          <w:color w:val="000000" w:themeColor="text1"/>
          <w:sz w:val="28"/>
          <w:szCs w:val="28"/>
          <w:rtl/>
        </w:rPr>
      </w:pPr>
      <w:r>
        <w:rPr>
          <w:rFonts w:ascii="AAA GoldenLotus" w:hAnsi="AAA GoldenLotus" w:cs="AAA GoldenLotus"/>
          <w:color w:val="000000" w:themeColor="text1"/>
          <w:sz w:val="28"/>
          <w:szCs w:val="28"/>
          <w:rtl/>
        </w:rPr>
        <w:tab/>
      </w:r>
      <w:r>
        <w:rPr>
          <w:rFonts w:ascii="AAA GoldenLotus" w:hAnsi="AAA GoldenLotus" w:cs="AAA GoldenLotus" w:hint="cs"/>
          <w:color w:val="000000" w:themeColor="text1"/>
          <w:sz w:val="28"/>
          <w:szCs w:val="28"/>
          <w:rtl/>
        </w:rPr>
        <w:t>وسقت كلام ابن القيم برمته ليظهر تهافت ما ذكره الخفاجي في توهين قول من قال</w:t>
      </w:r>
      <w:r>
        <w:rPr>
          <w:rStyle w:val="Appelnotedebasdep"/>
          <w:rFonts w:ascii="AAA GoldenLotus" w:hAnsi="AAA GoldenLotus" w:cs="AAA GoldenLotus"/>
          <w:color w:val="000000" w:themeColor="text1"/>
          <w:sz w:val="28"/>
          <w:szCs w:val="28"/>
          <w:rtl/>
        </w:rPr>
        <w:footnoteReference w:id="7"/>
      </w:r>
      <w:r>
        <w:rPr>
          <w:rFonts w:ascii="AAA GoldenLotus" w:hAnsi="AAA GoldenLotus" w:cs="AAA GoldenLotus" w:hint="cs"/>
          <w:color w:val="000000" w:themeColor="text1"/>
          <w:sz w:val="28"/>
          <w:szCs w:val="28"/>
          <w:rtl/>
        </w:rPr>
        <w:t xml:space="preserve"> : حمله (أي الكتاب في آية الأنعام) على القرآن لا يلائم ما قبله وما بعده))، حيث فنَّد هذا المعنى وهو صحيح </w:t>
      </w:r>
      <w:r>
        <w:rPr>
          <w:rFonts w:ascii="Times New Roman" w:hAnsi="Times New Roman" w:cs="Times New Roman" w:hint="cs"/>
          <w:color w:val="000000" w:themeColor="text1"/>
          <w:sz w:val="28"/>
          <w:szCs w:val="28"/>
          <w:rtl/>
        </w:rPr>
        <w:t>–</w:t>
      </w:r>
      <w:r>
        <w:rPr>
          <w:rFonts w:ascii="AAA GoldenLotus" w:hAnsi="AAA GoldenLotus" w:cs="AAA GoldenLotus" w:hint="cs"/>
          <w:color w:val="000000" w:themeColor="text1"/>
          <w:sz w:val="28"/>
          <w:szCs w:val="28"/>
          <w:rtl/>
        </w:rPr>
        <w:t>كما ترى- فقال</w:t>
      </w:r>
      <w:r>
        <w:rPr>
          <w:rStyle w:val="Appelnotedebasdep"/>
          <w:rFonts w:ascii="AAA GoldenLotus" w:hAnsi="AAA GoldenLotus" w:cs="AAA GoldenLotus"/>
          <w:color w:val="000000" w:themeColor="text1"/>
          <w:sz w:val="28"/>
          <w:szCs w:val="28"/>
          <w:rtl/>
        </w:rPr>
        <w:footnoteReference w:id="8"/>
      </w:r>
      <w:r>
        <w:rPr>
          <w:rFonts w:ascii="AAA GoldenLotus" w:hAnsi="AAA GoldenLotus" w:cs="AAA GoldenLotus" w:hint="cs"/>
          <w:color w:val="000000" w:themeColor="text1"/>
          <w:sz w:val="28"/>
          <w:szCs w:val="28"/>
          <w:rtl/>
        </w:rPr>
        <w:t xml:space="preserve"> </w:t>
      </w:r>
      <w:r w:rsidR="00A947C6">
        <w:rPr>
          <w:rFonts w:ascii="AAA GoldenLotus" w:hAnsi="AAA GoldenLotus" w:cs="AAA GoldenLotus" w:hint="cs"/>
          <w:color w:val="000000" w:themeColor="text1"/>
          <w:sz w:val="28"/>
          <w:szCs w:val="28"/>
          <w:rtl/>
        </w:rPr>
        <w:t>: ((ويدفع بأنَّ المعنى لم نترك شيئا من الحجج وغيرها إلا ذكرناه، فكيف يحتاج إلى آية أخرى ممَّا اقترحوه ويكذب بآياتنا)).</w:t>
      </w:r>
    </w:p>
    <w:p w:rsidR="00A947C6" w:rsidRDefault="00A947C6" w:rsidP="0081297E">
      <w:pPr>
        <w:pStyle w:val="Paragraphedeliste"/>
        <w:bidi/>
        <w:ind w:left="390"/>
        <w:rPr>
          <w:rFonts w:ascii="AAA GoldenLotus" w:hAnsi="AAA GoldenLotus" w:cs="AAA GoldenLotus" w:hint="cs"/>
          <w:color w:val="000000" w:themeColor="text1"/>
          <w:sz w:val="28"/>
          <w:szCs w:val="28"/>
          <w:rtl/>
        </w:rPr>
      </w:pPr>
      <w:r>
        <w:rPr>
          <w:rFonts w:ascii="AAA GoldenLotus" w:hAnsi="AAA GoldenLotus" w:cs="AAA GoldenLotus"/>
          <w:color w:val="000000" w:themeColor="text1"/>
          <w:sz w:val="28"/>
          <w:szCs w:val="28"/>
          <w:rtl/>
        </w:rPr>
        <w:tab/>
      </w:r>
      <w:r>
        <w:rPr>
          <w:rFonts w:ascii="AAA GoldenLotus" w:hAnsi="AAA GoldenLotus" w:cs="AAA GoldenLotus" w:hint="cs"/>
          <w:color w:val="000000" w:themeColor="text1"/>
          <w:sz w:val="28"/>
          <w:szCs w:val="28"/>
          <w:rtl/>
        </w:rPr>
        <w:t>وخلاصة القول في خاتمة هذا المقال هو بيان ترجيح قول من فسَّر الكتاب في الآية المذكورة آنفا باللوح المحفوظ، وهو مدلول الآية المطابق كما عند المحققين، لذا ينبغي التنبيه عليه والقول به عند الاستدلال بهذه الآية، وأنه المعتمد والمقدم على غيره، وعليه فلا يصح أن تقصر الآية على القول الآخر (وهو القرآن)، ومع ذلك فإنه لا بأس بالاستشهاد بها على صحة هذا المعنى المرجوح  لتضمن القرآن الوصف المذكور ((ما فرَّطنا)) على ما ذكرنا في هامش البحث من جواز الاستشهاد بالآيات في غير ما نزلت فيه، وخاصَّة إذا انضاف إلي ذلك قول بعض أهل العلم به، واقتصار بعضهم الآخر عليه فقط كما سبق بيانه، والعلم عند الله تعالى.</w:t>
      </w:r>
    </w:p>
    <w:p w:rsidR="0018486D" w:rsidRDefault="0018486D" w:rsidP="0018486D">
      <w:pPr>
        <w:pStyle w:val="Paragraphedeliste"/>
        <w:bidi/>
        <w:ind w:left="390"/>
        <w:rPr>
          <w:rFonts w:ascii="AAA GoldenLotus" w:hAnsi="AAA GoldenLotus" w:cs="AAA GoldenLotus" w:hint="cs"/>
          <w:color w:val="000000" w:themeColor="text1"/>
          <w:sz w:val="28"/>
          <w:szCs w:val="28"/>
          <w:rtl/>
        </w:rPr>
      </w:pPr>
    </w:p>
    <w:p w:rsidR="0018486D" w:rsidRPr="0018486D" w:rsidRDefault="0018486D" w:rsidP="0018486D">
      <w:pPr>
        <w:pStyle w:val="Paragraphedeliste"/>
        <w:bidi/>
        <w:ind w:left="390"/>
        <w:jc w:val="center"/>
        <w:rPr>
          <w:rFonts w:ascii="Arabic Typesetting" w:hAnsi="Arabic Typesetting" w:cs="Arabic Typesetting"/>
          <w:color w:val="0070C0"/>
          <w:sz w:val="36"/>
          <w:szCs w:val="36"/>
          <w:lang w:bidi="ar-DZ"/>
        </w:rPr>
      </w:pPr>
      <w:r w:rsidRPr="0018486D">
        <w:rPr>
          <w:rFonts w:ascii="AAA GoldenLotus" w:hAnsi="AAA GoldenLotus" w:cs="AAA GoldenLotus" w:hint="cs"/>
          <w:color w:val="0070C0"/>
          <w:sz w:val="28"/>
          <w:szCs w:val="28"/>
          <w:rtl/>
        </w:rPr>
        <w:t xml:space="preserve">تم إعادة طبع المقال على الوورد </w:t>
      </w:r>
      <w:r w:rsidRPr="0018486D">
        <w:rPr>
          <w:rFonts w:ascii="AAA GoldenLotus" w:hAnsi="AAA GoldenLotus" w:cs="AAA GoldenLotus"/>
          <w:color w:val="0070C0"/>
          <w:sz w:val="28"/>
          <w:szCs w:val="28"/>
        </w:rPr>
        <w:t xml:space="preserve">word </w:t>
      </w:r>
      <w:r>
        <w:rPr>
          <w:rFonts w:ascii="AAA GoldenLotus" w:hAnsi="AAA GoldenLotus" w:cs="AAA GoldenLotus" w:hint="cs"/>
          <w:color w:val="0070C0"/>
          <w:sz w:val="28"/>
          <w:szCs w:val="28"/>
          <w:rtl/>
        </w:rPr>
        <w:t xml:space="preserve"> </w:t>
      </w:r>
      <w:r w:rsidRPr="0018486D">
        <w:rPr>
          <w:rFonts w:ascii="AAA GoldenLotus" w:hAnsi="AAA GoldenLotus" w:cs="AAA GoldenLotus" w:hint="cs"/>
          <w:color w:val="0070C0"/>
          <w:sz w:val="28"/>
          <w:szCs w:val="28"/>
          <w:rtl/>
          <w:lang w:bidi="ar-DZ"/>
        </w:rPr>
        <w:t xml:space="preserve">تحت إشراف </w:t>
      </w:r>
      <w:r w:rsidRPr="0018486D">
        <w:rPr>
          <w:rFonts w:ascii="AAA GoldenLotus" w:hAnsi="AAA GoldenLotus" w:cs="AAA GoldenLotus" w:hint="cs"/>
          <w:color w:val="0070C0"/>
          <w:sz w:val="28"/>
          <w:szCs w:val="28"/>
          <w:rtl/>
        </w:rPr>
        <w:t>شبكة الإمام الآجري</w:t>
      </w:r>
    </w:p>
    <w:sectPr w:rsidR="0018486D" w:rsidRPr="0018486D" w:rsidSect="00CC06D4">
      <w:headerReference w:type="default" r:id="rId9"/>
      <w:pgSz w:w="11906" w:h="16838"/>
      <w:pgMar w:top="1440" w:right="1080" w:bottom="1440" w:left="1080" w:header="708" w:footer="708" w:gutter="0"/>
      <w:pgBorders w:offsetFrom="page">
        <w:top w:val="flowersTiny" w:sz="14" w:space="24" w:color="auto"/>
        <w:left w:val="flowersTiny" w:sz="14" w:space="24" w:color="auto"/>
        <w:bottom w:val="flowersTiny" w:sz="14" w:space="24" w:color="auto"/>
        <w:right w:val="flowersTiny" w:sz="1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04F" w:rsidRDefault="003C204F" w:rsidP="00236116">
      <w:pPr>
        <w:spacing w:after="0" w:line="240" w:lineRule="auto"/>
      </w:pPr>
      <w:r>
        <w:separator/>
      </w:r>
    </w:p>
  </w:endnote>
  <w:endnote w:type="continuationSeparator" w:id="0">
    <w:p w:rsidR="003C204F" w:rsidRDefault="003C204F" w:rsidP="00236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abic Typesetting">
    <w:panose1 w:val="03020402040406030203"/>
    <w:charset w:val="00"/>
    <w:family w:val="script"/>
    <w:pitch w:val="variable"/>
    <w:sig w:usb0="A000206F" w:usb1="C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rdu Typesetting">
    <w:panose1 w:val="03020402040406030203"/>
    <w:charset w:val="00"/>
    <w:family w:val="script"/>
    <w:pitch w:val="variable"/>
    <w:sig w:usb0="00002007" w:usb1="80000000" w:usb2="00000008" w:usb3="00000000" w:csb0="000000D3" w:csb1="00000000"/>
  </w:font>
  <w:font w:name="AAA GoldenLotus">
    <w:panose1 w:val="02000000000000000000"/>
    <w:charset w:val="00"/>
    <w:family w:val="auto"/>
    <w:pitch w:val="variable"/>
    <w:sig w:usb0="00002007" w:usb1="80000000" w:usb2="00000008" w:usb3="00000000" w:csb0="0000004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04F" w:rsidRDefault="003C204F" w:rsidP="00236116">
      <w:pPr>
        <w:spacing w:after="0" w:line="240" w:lineRule="auto"/>
      </w:pPr>
      <w:r>
        <w:separator/>
      </w:r>
    </w:p>
  </w:footnote>
  <w:footnote w:type="continuationSeparator" w:id="0">
    <w:p w:rsidR="003C204F" w:rsidRDefault="003C204F" w:rsidP="00236116">
      <w:pPr>
        <w:spacing w:after="0" w:line="240" w:lineRule="auto"/>
      </w:pPr>
      <w:r>
        <w:continuationSeparator/>
      </w:r>
    </w:p>
  </w:footnote>
  <w:footnote w:id="1">
    <w:p w:rsidR="003C256A" w:rsidRPr="00EC48AA" w:rsidRDefault="003C256A" w:rsidP="00132018">
      <w:pPr>
        <w:pStyle w:val="Notedebasdepage"/>
        <w:bidi/>
        <w:rPr>
          <w:rStyle w:val="Appelnotedebasdep"/>
          <w:rFonts w:ascii="Arabic Typesetting" w:hAnsi="Arabic Typesetting" w:cs="Arabic Typesetting"/>
          <w:sz w:val="36"/>
          <w:szCs w:val="36"/>
          <w:rtl/>
        </w:rPr>
      </w:pPr>
      <w:r w:rsidRPr="00EC48AA">
        <w:rPr>
          <w:rStyle w:val="Appelnotedebasdep"/>
          <w:rFonts w:ascii="Arabic Typesetting" w:hAnsi="Arabic Typesetting" w:cs="Arabic Typesetting"/>
          <w:sz w:val="36"/>
          <w:szCs w:val="36"/>
        </w:rPr>
        <w:footnoteRef/>
      </w:r>
      <w:r w:rsidRPr="00EC48AA">
        <w:rPr>
          <w:rStyle w:val="Appelnotedebasdep"/>
          <w:rFonts w:ascii="Arabic Typesetting" w:hAnsi="Arabic Typesetting" w:cs="Arabic Typesetting"/>
          <w:sz w:val="36"/>
          <w:szCs w:val="36"/>
        </w:rPr>
        <w:t xml:space="preserve"> </w:t>
      </w:r>
      <w:r w:rsidRPr="00EC48AA">
        <w:rPr>
          <w:rStyle w:val="Appelnotedebasdep"/>
          <w:rFonts w:ascii="Arabic Typesetting" w:hAnsi="Arabic Typesetting" w:cs="Arabic Typesetting"/>
          <w:sz w:val="36"/>
          <w:szCs w:val="36"/>
          <w:rtl/>
        </w:rPr>
        <w:t>- مجلة الإصلاح الجزائرية: (العدد الثالث/ص6)</w:t>
      </w:r>
    </w:p>
  </w:footnote>
  <w:footnote w:id="2">
    <w:p w:rsidR="003C256A" w:rsidRDefault="003C256A" w:rsidP="00236116">
      <w:pPr>
        <w:pStyle w:val="Notedebasdepage"/>
        <w:bidi/>
        <w:rPr>
          <w:rtl/>
          <w:lang w:bidi="ar-DZ"/>
        </w:rPr>
      </w:pPr>
      <w:r w:rsidRPr="00EC48AA">
        <w:rPr>
          <w:rStyle w:val="Appelnotedebasdep"/>
          <w:rFonts w:ascii="Arabic Typesetting" w:hAnsi="Arabic Typesetting" w:cs="Arabic Typesetting"/>
          <w:sz w:val="36"/>
          <w:szCs w:val="36"/>
        </w:rPr>
        <w:footnoteRef/>
      </w:r>
      <w:r w:rsidRPr="00EC48AA">
        <w:rPr>
          <w:rStyle w:val="Appelnotedebasdep"/>
          <w:rFonts w:ascii="Arabic Typesetting" w:hAnsi="Arabic Typesetting" w:cs="Arabic Typesetting"/>
          <w:sz w:val="36"/>
          <w:szCs w:val="36"/>
        </w:rPr>
        <w:t xml:space="preserve"> </w:t>
      </w:r>
      <w:r w:rsidRPr="00EC48AA">
        <w:rPr>
          <w:rStyle w:val="Appelnotedebasdep"/>
          <w:rFonts w:ascii="Arabic Typesetting" w:hAnsi="Arabic Typesetting" w:cs="Arabic Typesetting"/>
          <w:sz w:val="36"/>
          <w:szCs w:val="36"/>
          <w:rtl/>
        </w:rPr>
        <w:t xml:space="preserve">- </w:t>
      </w:r>
      <w:r w:rsidR="001E24AC" w:rsidRPr="00EC48AA">
        <w:rPr>
          <w:rStyle w:val="Appelnotedebasdep"/>
          <w:rFonts w:ascii="Arabic Typesetting" w:hAnsi="Arabic Typesetting" w:cs="Arabic Typesetting"/>
          <w:sz w:val="36"/>
          <w:szCs w:val="36"/>
          <w:rtl/>
        </w:rPr>
        <w:t>الاستشهاد بالآيات في غير ما نزلت فيه وتنزيل آيات الكفار على المؤمنين، جائز في الجملة إذا روعيت بعض الشروط والضوابط التي لابدَّ منها، انظر بحثا نفيسا في (مقالات في علوم القرآن وأصول التفسير) للدكتور مساعد بن سليمان الطيار من (ص269 إلى 276).</w:t>
      </w:r>
    </w:p>
  </w:footnote>
  <w:footnote w:id="3">
    <w:p w:rsidR="003C256A" w:rsidRPr="00EC48AA" w:rsidRDefault="003C256A" w:rsidP="00367718">
      <w:pPr>
        <w:pStyle w:val="Notedebasdepage"/>
        <w:bidi/>
        <w:rPr>
          <w:rStyle w:val="Appelnotedebasdep"/>
          <w:rFonts w:ascii="Arabic Typesetting" w:hAnsi="Arabic Typesetting" w:cs="Arabic Typesetting"/>
          <w:sz w:val="36"/>
          <w:szCs w:val="36"/>
          <w:rtl/>
        </w:rPr>
      </w:pPr>
      <w:r w:rsidRPr="00EC48AA">
        <w:rPr>
          <w:rStyle w:val="Appelnotedebasdep"/>
          <w:rFonts w:ascii="Arabic Typesetting" w:hAnsi="Arabic Typesetting" w:cs="Arabic Typesetting"/>
          <w:sz w:val="36"/>
          <w:szCs w:val="36"/>
        </w:rPr>
        <w:footnoteRef/>
      </w:r>
      <w:r w:rsidRPr="00EC48AA">
        <w:rPr>
          <w:rStyle w:val="Appelnotedebasdep"/>
          <w:rFonts w:ascii="Arabic Typesetting" w:hAnsi="Arabic Typesetting" w:cs="Arabic Typesetting"/>
          <w:sz w:val="36"/>
          <w:szCs w:val="36"/>
        </w:rPr>
        <w:t xml:space="preserve"> </w:t>
      </w:r>
      <w:r w:rsidR="001E24AC" w:rsidRPr="00EC48AA">
        <w:rPr>
          <w:rStyle w:val="Appelnotedebasdep"/>
          <w:rFonts w:ascii="Arabic Typesetting" w:hAnsi="Arabic Typesetting" w:cs="Arabic Typesetting" w:hint="cs"/>
          <w:sz w:val="36"/>
          <w:szCs w:val="36"/>
          <w:rtl/>
        </w:rPr>
        <w:t>- ((التفسير الصحيح)) للدكتور حكمت بشير ياسين (2/237).</w:t>
      </w:r>
    </w:p>
  </w:footnote>
  <w:footnote w:id="4">
    <w:p w:rsidR="003C256A" w:rsidRPr="00EC48AA" w:rsidRDefault="003C256A" w:rsidP="00AC6E5D">
      <w:pPr>
        <w:pStyle w:val="Notedebasdepage"/>
        <w:bidi/>
        <w:rPr>
          <w:rStyle w:val="Appelnotedebasdep"/>
          <w:rFonts w:ascii="Arabic Typesetting" w:hAnsi="Arabic Typesetting" w:cs="Arabic Typesetting"/>
          <w:sz w:val="36"/>
          <w:szCs w:val="36"/>
          <w:rtl/>
        </w:rPr>
      </w:pPr>
      <w:r w:rsidRPr="00226D65">
        <w:rPr>
          <w:rStyle w:val="Appelnotedebasdep"/>
          <w:rFonts w:ascii="Arabic Typesetting" w:hAnsi="Arabic Typesetting" w:cs="Arabic Typesetting"/>
          <w:sz w:val="40"/>
          <w:szCs w:val="40"/>
        </w:rPr>
        <w:footnoteRef/>
      </w:r>
      <w:r w:rsidRPr="00226D65">
        <w:rPr>
          <w:rStyle w:val="Appelnotedebasdep"/>
          <w:rFonts w:ascii="Arabic Typesetting" w:hAnsi="Arabic Typesetting" w:cs="Arabic Typesetting"/>
          <w:sz w:val="40"/>
          <w:szCs w:val="40"/>
        </w:rPr>
        <w:t xml:space="preserve"> </w:t>
      </w:r>
      <w:r w:rsidRPr="00226D65">
        <w:rPr>
          <w:rStyle w:val="Appelnotedebasdep"/>
          <w:rFonts w:ascii="Arabic Typesetting" w:hAnsi="Arabic Typesetting" w:cs="Arabic Typesetting" w:hint="cs"/>
          <w:sz w:val="40"/>
          <w:szCs w:val="40"/>
          <w:rtl/>
        </w:rPr>
        <w:t>-</w:t>
      </w:r>
      <w:r w:rsidR="001E24AC" w:rsidRPr="00226D65">
        <w:rPr>
          <w:rStyle w:val="Appelnotedebasdep"/>
          <w:rFonts w:ascii="Arabic Typesetting" w:hAnsi="Arabic Typesetting" w:cs="Arabic Typesetting" w:hint="cs"/>
          <w:sz w:val="40"/>
          <w:szCs w:val="40"/>
          <w:rtl/>
        </w:rPr>
        <w:t xml:space="preserve"> لم أقصد الاستقصاء والحصر.</w:t>
      </w:r>
    </w:p>
  </w:footnote>
  <w:footnote w:id="5">
    <w:p w:rsidR="003C256A" w:rsidRPr="00EC48AA" w:rsidRDefault="003C256A" w:rsidP="001E24AC">
      <w:pPr>
        <w:pStyle w:val="Notedebasdepage"/>
        <w:bidi/>
        <w:rPr>
          <w:rStyle w:val="Appelnotedebasdep"/>
          <w:rFonts w:ascii="Arabic Typesetting" w:hAnsi="Arabic Typesetting" w:cs="Arabic Typesetting"/>
          <w:sz w:val="36"/>
          <w:szCs w:val="36"/>
          <w:rtl/>
        </w:rPr>
      </w:pPr>
      <w:r w:rsidRPr="00EC48AA">
        <w:rPr>
          <w:rStyle w:val="Appelnotedebasdep"/>
          <w:rFonts w:ascii="Arabic Typesetting" w:hAnsi="Arabic Typesetting" w:cs="Arabic Typesetting"/>
          <w:sz w:val="36"/>
          <w:szCs w:val="36"/>
        </w:rPr>
        <w:footnoteRef/>
      </w:r>
      <w:r w:rsidRPr="00EC48AA">
        <w:rPr>
          <w:rStyle w:val="Appelnotedebasdep"/>
          <w:rFonts w:ascii="Arabic Typesetting" w:hAnsi="Arabic Typesetting" w:cs="Arabic Typesetting"/>
          <w:sz w:val="36"/>
          <w:szCs w:val="36"/>
        </w:rPr>
        <w:t xml:space="preserve"> </w:t>
      </w:r>
      <w:r w:rsidR="001E24AC" w:rsidRPr="00EC48AA">
        <w:rPr>
          <w:rStyle w:val="Appelnotedebasdep"/>
          <w:rFonts w:ascii="Arabic Typesetting" w:hAnsi="Arabic Typesetting" w:cs="Arabic Typesetting" w:hint="cs"/>
          <w:sz w:val="36"/>
          <w:szCs w:val="36"/>
          <w:rtl/>
        </w:rPr>
        <w:t>- ((محاسن التأويل)) للقاسمي (1/262) و((قواعد التفسير)) لعثمان السبت (1/422).</w:t>
      </w:r>
    </w:p>
  </w:footnote>
  <w:footnote w:id="6">
    <w:p w:rsidR="00607460" w:rsidRPr="00EC48AA" w:rsidRDefault="00607460" w:rsidP="001E24AC">
      <w:pPr>
        <w:pStyle w:val="Notedebasdepage"/>
        <w:bidi/>
        <w:rPr>
          <w:rStyle w:val="Appelnotedebasdep"/>
          <w:rFonts w:ascii="Arabic Typesetting" w:hAnsi="Arabic Typesetting" w:cs="Arabic Typesetting"/>
          <w:sz w:val="36"/>
          <w:szCs w:val="36"/>
          <w:rtl/>
        </w:rPr>
      </w:pPr>
      <w:r w:rsidRPr="00EC48AA">
        <w:rPr>
          <w:rStyle w:val="Appelnotedebasdep"/>
          <w:rFonts w:ascii="Arabic Typesetting" w:hAnsi="Arabic Typesetting" w:cs="Arabic Typesetting"/>
          <w:sz w:val="36"/>
          <w:szCs w:val="36"/>
        </w:rPr>
        <w:footnoteRef/>
      </w:r>
      <w:r w:rsidRPr="00EC48AA">
        <w:rPr>
          <w:rStyle w:val="Appelnotedebasdep"/>
          <w:rFonts w:ascii="Arabic Typesetting" w:hAnsi="Arabic Typesetting" w:cs="Arabic Typesetting"/>
          <w:sz w:val="36"/>
          <w:szCs w:val="36"/>
        </w:rPr>
        <w:t xml:space="preserve"> </w:t>
      </w:r>
      <w:r w:rsidR="001E24AC" w:rsidRPr="00EC48AA">
        <w:rPr>
          <w:rStyle w:val="Appelnotedebasdep"/>
          <w:rFonts w:ascii="Arabic Typesetting" w:hAnsi="Arabic Typesetting" w:cs="Arabic Typesetting"/>
          <w:sz w:val="36"/>
          <w:szCs w:val="36"/>
          <w:rtl/>
        </w:rPr>
        <w:t>- ((شفاء العليل)) (ط/العبيكان) (1/165و166).</w:t>
      </w:r>
    </w:p>
  </w:footnote>
  <w:footnote w:id="7">
    <w:p w:rsidR="00607460" w:rsidRPr="00EC48AA" w:rsidRDefault="00607460" w:rsidP="00607460">
      <w:pPr>
        <w:pStyle w:val="Notedebasdepage"/>
        <w:bidi/>
        <w:rPr>
          <w:rStyle w:val="Appelnotedebasdep"/>
          <w:rFonts w:ascii="Arabic Typesetting" w:hAnsi="Arabic Typesetting" w:cs="Arabic Typesetting"/>
          <w:sz w:val="36"/>
          <w:szCs w:val="36"/>
          <w:rtl/>
        </w:rPr>
      </w:pPr>
      <w:r w:rsidRPr="00EC48AA">
        <w:rPr>
          <w:rStyle w:val="Appelnotedebasdep"/>
          <w:rFonts w:ascii="Arabic Typesetting" w:hAnsi="Arabic Typesetting" w:cs="Arabic Typesetting"/>
          <w:sz w:val="36"/>
          <w:szCs w:val="36"/>
        </w:rPr>
        <w:footnoteRef/>
      </w:r>
      <w:r w:rsidRPr="00EC48AA">
        <w:rPr>
          <w:rStyle w:val="Appelnotedebasdep"/>
          <w:rFonts w:ascii="Arabic Typesetting" w:hAnsi="Arabic Typesetting" w:cs="Arabic Typesetting"/>
          <w:sz w:val="36"/>
          <w:szCs w:val="36"/>
        </w:rPr>
        <w:t xml:space="preserve"> </w:t>
      </w:r>
      <w:r w:rsidR="001E24AC" w:rsidRPr="00EC48AA">
        <w:rPr>
          <w:rStyle w:val="Appelnotedebasdep"/>
          <w:rFonts w:ascii="Arabic Typesetting" w:hAnsi="Arabic Typesetting" w:cs="Arabic Typesetting"/>
          <w:sz w:val="36"/>
          <w:szCs w:val="36"/>
          <w:rtl/>
        </w:rPr>
        <w:t>- ((محاسن التأويل)) للقاسمي (3/307).</w:t>
      </w:r>
    </w:p>
  </w:footnote>
  <w:footnote w:id="8">
    <w:p w:rsidR="00EC48AA" w:rsidRDefault="00607460" w:rsidP="00EC48AA">
      <w:pPr>
        <w:pStyle w:val="Notedebasdepage"/>
        <w:bidi/>
        <w:rPr>
          <w:rFonts w:hint="cs"/>
          <w:rtl/>
        </w:rPr>
      </w:pPr>
      <w:r w:rsidRPr="00EC48AA">
        <w:rPr>
          <w:rStyle w:val="Appelnotedebasdep"/>
          <w:rFonts w:ascii="Arabic Typesetting" w:hAnsi="Arabic Typesetting" w:cs="Arabic Typesetting"/>
          <w:sz w:val="36"/>
          <w:szCs w:val="36"/>
        </w:rPr>
        <w:footnoteRef/>
      </w:r>
      <w:r w:rsidRPr="00EC48AA">
        <w:rPr>
          <w:rStyle w:val="Appelnotedebasdep"/>
          <w:rFonts w:ascii="Arabic Typesetting" w:hAnsi="Arabic Typesetting" w:cs="Arabic Typesetting"/>
          <w:sz w:val="36"/>
          <w:szCs w:val="36"/>
        </w:rPr>
        <w:t xml:space="preserve"> </w:t>
      </w:r>
      <w:r w:rsidR="001E24AC" w:rsidRPr="00EC48AA">
        <w:rPr>
          <w:rStyle w:val="Appelnotedebasdep"/>
          <w:rFonts w:ascii="Arabic Typesetting" w:hAnsi="Arabic Typesetting" w:cs="Arabic Typesetting"/>
          <w:sz w:val="36"/>
          <w:szCs w:val="36"/>
          <w:rtl/>
        </w:rPr>
        <w:t xml:space="preserve">- </w:t>
      </w:r>
      <w:proofErr w:type="gramStart"/>
      <w:r w:rsidR="00EC48AA" w:rsidRPr="00EC48AA">
        <w:rPr>
          <w:rStyle w:val="Appelnotedebasdep"/>
          <w:rFonts w:ascii="Arabic Typesetting" w:hAnsi="Arabic Typesetting" w:cs="Arabic Typesetting"/>
          <w:sz w:val="36"/>
          <w:szCs w:val="36"/>
          <w:rtl/>
        </w:rPr>
        <w:t>المرجع</w:t>
      </w:r>
      <w:proofErr w:type="gramEnd"/>
      <w:r w:rsidR="00EC48AA" w:rsidRPr="00EC48AA">
        <w:rPr>
          <w:rStyle w:val="Appelnotedebasdep"/>
          <w:rFonts w:ascii="Arabic Typesetting" w:hAnsi="Arabic Typesetting" w:cs="Arabic Typesetting"/>
          <w:sz w:val="36"/>
          <w:szCs w:val="36"/>
          <w:rtl/>
        </w:rPr>
        <w:t xml:space="preserve"> السابق.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56A" w:rsidRDefault="003C256A" w:rsidP="0083631C">
    <w:pPr>
      <w:pStyle w:val="En-tte"/>
      <w:jc w:val="center"/>
      <w:rPr>
        <w:rFonts w:ascii="Urdu Typesetting" w:hAnsi="Urdu Typesetting" w:cs="Urdu Typesetting"/>
        <w:sz w:val="40"/>
        <w:szCs w:val="40"/>
        <w:rtl/>
        <w:lang w:bidi="ar-DZ"/>
      </w:rPr>
    </w:pPr>
    <w:hyperlink r:id="rId1" w:history="1">
      <w:r w:rsidRPr="0083631C">
        <w:rPr>
          <w:rStyle w:val="Lienhypertexte"/>
          <w:rFonts w:ascii="Urdu Typesetting" w:hAnsi="Urdu Typesetting" w:cs="Urdu Typesetting"/>
          <w:sz w:val="36"/>
          <w:szCs w:val="36"/>
          <w:lang w:bidi="ar-DZ"/>
        </w:rPr>
        <w:t>www.ajurry.com</w:t>
      </w:r>
    </w:hyperlink>
    <w:r w:rsidRPr="0083631C">
      <w:rPr>
        <w:rFonts w:ascii="Urdu Typesetting" w:hAnsi="Urdu Typesetting" w:cs="Urdu Typesetting"/>
        <w:sz w:val="36"/>
        <w:szCs w:val="36"/>
        <w:lang w:bidi="ar-DZ"/>
      </w:rPr>
      <w:t xml:space="preserve">    </w:t>
    </w:r>
    <w:r w:rsidRPr="0083631C">
      <w:rPr>
        <w:rFonts w:ascii="Urdu Typesetting" w:hAnsi="Urdu Typesetting" w:cs="Urdu Typesetting"/>
        <w:sz w:val="40"/>
        <w:szCs w:val="40"/>
        <w:lang w:bidi="ar-DZ"/>
      </w:rPr>
      <w:t xml:space="preserve">  </w:t>
    </w:r>
    <w:r w:rsidRPr="0083631C">
      <w:rPr>
        <w:rFonts w:ascii="Urdu Typesetting" w:hAnsi="Urdu Typesetting" w:cs="Urdu Typesetting"/>
        <w:sz w:val="40"/>
        <w:szCs w:val="40"/>
        <w:rtl/>
        <w:lang w:bidi="ar-DZ"/>
      </w:rPr>
      <w:t>منبر القرآن وعلومه</w:t>
    </w:r>
    <w:r>
      <w:rPr>
        <w:rFonts w:ascii="Urdu Typesetting" w:hAnsi="Urdu Typesetting" w:cs="Urdu Typesetting" w:hint="cs"/>
        <w:sz w:val="40"/>
        <w:szCs w:val="40"/>
        <w:rtl/>
        <w:lang w:bidi="ar-DZ"/>
      </w:rPr>
      <w:t xml:space="preserve">             </w:t>
    </w:r>
    <w:r w:rsidRPr="0083631C">
      <w:rPr>
        <w:rFonts w:ascii="Urdu Typesetting" w:hAnsi="Urdu Typesetting" w:cs="Urdu Typesetting"/>
        <w:sz w:val="40"/>
        <w:szCs w:val="40"/>
        <w:rtl/>
        <w:lang w:bidi="ar-DZ"/>
      </w:rPr>
      <w:t xml:space="preserve">        </w:t>
    </w:r>
    <w:r w:rsidRPr="0083631C">
      <w:rPr>
        <w:rFonts w:ascii="Urdu Typesetting" w:hAnsi="Urdu Typesetting" w:cs="Urdu Typesetting"/>
        <w:sz w:val="40"/>
        <w:szCs w:val="40"/>
        <w:lang w:bidi="ar-DZ"/>
      </w:rPr>
      <w:t xml:space="preserve"> </w:t>
    </w:r>
    <w:r>
      <w:rPr>
        <w:rFonts w:ascii="Urdu Typesetting" w:hAnsi="Urdu Typesetting" w:cs="Urdu Typesetting" w:hint="cs"/>
        <w:sz w:val="40"/>
        <w:szCs w:val="40"/>
        <w:rtl/>
        <w:lang w:bidi="ar-DZ"/>
      </w:rPr>
      <w:t xml:space="preserve">                                 </w:t>
    </w:r>
    <w:r w:rsidRPr="0083631C">
      <w:rPr>
        <w:rFonts w:ascii="Urdu Typesetting" w:hAnsi="Urdu Typesetting" w:cs="Urdu Typesetting"/>
        <w:sz w:val="40"/>
        <w:szCs w:val="40"/>
        <w:lang w:bidi="ar-DZ"/>
      </w:rPr>
      <w:t xml:space="preserve">   </w:t>
    </w:r>
    <w:r w:rsidRPr="0083631C">
      <w:rPr>
        <w:rFonts w:ascii="Urdu Typesetting" w:hAnsi="Urdu Typesetting" w:cs="Urdu Typesetting"/>
        <w:sz w:val="40"/>
        <w:szCs w:val="40"/>
        <w:rtl/>
        <w:lang w:bidi="ar-DZ"/>
      </w:rPr>
      <w:t>شبكة الإمام الآجري</w:t>
    </w:r>
  </w:p>
  <w:p w:rsidR="003C256A" w:rsidRPr="0083631C" w:rsidRDefault="003C256A" w:rsidP="0083631C">
    <w:pPr>
      <w:pStyle w:val="En-tte"/>
      <w:jc w:val="center"/>
      <w:rPr>
        <w:rFonts w:ascii="Urdu Typesetting" w:hAnsi="Urdu Typesetting" w:cs="Urdu Typesetting"/>
        <w:sz w:val="20"/>
        <w:szCs w:val="20"/>
        <w:rtl/>
        <w:lang w:bidi="ar-DZ"/>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B442D"/>
    <w:multiLevelType w:val="hybridMultilevel"/>
    <w:tmpl w:val="09624960"/>
    <w:lvl w:ilvl="0" w:tplc="82822E1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94718EA"/>
    <w:multiLevelType w:val="hybridMultilevel"/>
    <w:tmpl w:val="1458B3F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0861615"/>
    <w:multiLevelType w:val="hybridMultilevel"/>
    <w:tmpl w:val="9B7EDA66"/>
    <w:lvl w:ilvl="0" w:tplc="8320F90A">
      <w:numFmt w:val="bullet"/>
      <w:lvlText w:val="-"/>
      <w:lvlJc w:val="left"/>
      <w:pPr>
        <w:ind w:left="720" w:hanging="360"/>
      </w:pPr>
      <w:rPr>
        <w:rFonts w:ascii="Arabic Typesetting" w:eastAsiaTheme="minorHAnsi" w:hAnsi="Arabic Typesetting" w:cs="Arabic Typesetting"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C325D39"/>
    <w:multiLevelType w:val="hybridMultilevel"/>
    <w:tmpl w:val="FBA481DA"/>
    <w:lvl w:ilvl="0" w:tplc="0120950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3CD8697D"/>
    <w:multiLevelType w:val="hybridMultilevel"/>
    <w:tmpl w:val="76F6429C"/>
    <w:lvl w:ilvl="0" w:tplc="64A46F98">
      <w:numFmt w:val="bullet"/>
      <w:lvlText w:val="-"/>
      <w:lvlJc w:val="left"/>
      <w:pPr>
        <w:ind w:left="720" w:hanging="360"/>
      </w:pPr>
      <w:rPr>
        <w:rFonts w:ascii="Arabic Typesetting" w:eastAsiaTheme="minorHAnsi" w:hAnsi="Arabic Typesetting" w:cs="Arabic Typesetting"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5548658A"/>
    <w:multiLevelType w:val="hybridMultilevel"/>
    <w:tmpl w:val="045A40D2"/>
    <w:lvl w:ilvl="0" w:tplc="0BFAAFC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B81"/>
    <w:rsid w:val="00030680"/>
    <w:rsid w:val="000639FB"/>
    <w:rsid w:val="000A5EBB"/>
    <w:rsid w:val="000D7B81"/>
    <w:rsid w:val="00132018"/>
    <w:rsid w:val="00134328"/>
    <w:rsid w:val="0018486D"/>
    <w:rsid w:val="001C743D"/>
    <w:rsid w:val="001D22F6"/>
    <w:rsid w:val="001E1B13"/>
    <w:rsid w:val="001E24AC"/>
    <w:rsid w:val="00201BDE"/>
    <w:rsid w:val="00221155"/>
    <w:rsid w:val="00226D65"/>
    <w:rsid w:val="00236116"/>
    <w:rsid w:val="002D7DA3"/>
    <w:rsid w:val="00367718"/>
    <w:rsid w:val="003C204F"/>
    <w:rsid w:val="003C256A"/>
    <w:rsid w:val="004523D2"/>
    <w:rsid w:val="00607460"/>
    <w:rsid w:val="00681B5B"/>
    <w:rsid w:val="00755284"/>
    <w:rsid w:val="0081297E"/>
    <w:rsid w:val="0083631C"/>
    <w:rsid w:val="00854D5D"/>
    <w:rsid w:val="00A623E3"/>
    <w:rsid w:val="00A947C6"/>
    <w:rsid w:val="00AC6E5D"/>
    <w:rsid w:val="00B56BA4"/>
    <w:rsid w:val="00CC06D4"/>
    <w:rsid w:val="00D145AA"/>
    <w:rsid w:val="00EC48AA"/>
    <w:rsid w:val="00F10567"/>
    <w:rsid w:val="00FD7A82"/>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23611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236116"/>
    <w:rPr>
      <w:sz w:val="20"/>
      <w:szCs w:val="20"/>
    </w:rPr>
  </w:style>
  <w:style w:type="character" w:styleId="Appelnotedebasdep">
    <w:name w:val="footnote reference"/>
    <w:basedOn w:val="Policepardfaut"/>
    <w:uiPriority w:val="99"/>
    <w:semiHidden/>
    <w:unhideWhenUsed/>
    <w:rsid w:val="00236116"/>
    <w:rPr>
      <w:vertAlign w:val="superscript"/>
    </w:rPr>
  </w:style>
  <w:style w:type="paragraph" w:styleId="Paragraphedeliste">
    <w:name w:val="List Paragraph"/>
    <w:basedOn w:val="Normal"/>
    <w:uiPriority w:val="34"/>
    <w:qFormat/>
    <w:rsid w:val="001D22F6"/>
    <w:pPr>
      <w:ind w:left="720"/>
      <w:contextualSpacing/>
    </w:pPr>
  </w:style>
  <w:style w:type="paragraph" w:styleId="En-tte">
    <w:name w:val="header"/>
    <w:basedOn w:val="Normal"/>
    <w:link w:val="En-tteCar"/>
    <w:uiPriority w:val="99"/>
    <w:unhideWhenUsed/>
    <w:rsid w:val="0083631C"/>
    <w:pPr>
      <w:tabs>
        <w:tab w:val="center" w:pos="4536"/>
        <w:tab w:val="right" w:pos="9072"/>
      </w:tabs>
      <w:spacing w:after="0" w:line="240" w:lineRule="auto"/>
    </w:pPr>
  </w:style>
  <w:style w:type="character" w:customStyle="1" w:styleId="En-tteCar">
    <w:name w:val="En-tête Car"/>
    <w:basedOn w:val="Policepardfaut"/>
    <w:link w:val="En-tte"/>
    <w:uiPriority w:val="99"/>
    <w:rsid w:val="0083631C"/>
  </w:style>
  <w:style w:type="paragraph" w:styleId="Pieddepage">
    <w:name w:val="footer"/>
    <w:basedOn w:val="Normal"/>
    <w:link w:val="PieddepageCar"/>
    <w:uiPriority w:val="99"/>
    <w:unhideWhenUsed/>
    <w:rsid w:val="0083631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3631C"/>
  </w:style>
  <w:style w:type="character" w:styleId="Lienhypertexte">
    <w:name w:val="Hyperlink"/>
    <w:basedOn w:val="Policepardfaut"/>
    <w:uiPriority w:val="99"/>
    <w:unhideWhenUsed/>
    <w:rsid w:val="0083631C"/>
    <w:rPr>
      <w:color w:val="0000FF" w:themeColor="hyperlink"/>
      <w:u w:val="single"/>
    </w:rPr>
  </w:style>
  <w:style w:type="paragraph" w:styleId="Textedebulles">
    <w:name w:val="Balloon Text"/>
    <w:basedOn w:val="Normal"/>
    <w:link w:val="TextedebullesCar"/>
    <w:uiPriority w:val="99"/>
    <w:semiHidden/>
    <w:unhideWhenUsed/>
    <w:rsid w:val="000A5EB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A5E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23611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236116"/>
    <w:rPr>
      <w:sz w:val="20"/>
      <w:szCs w:val="20"/>
    </w:rPr>
  </w:style>
  <w:style w:type="character" w:styleId="Appelnotedebasdep">
    <w:name w:val="footnote reference"/>
    <w:basedOn w:val="Policepardfaut"/>
    <w:uiPriority w:val="99"/>
    <w:semiHidden/>
    <w:unhideWhenUsed/>
    <w:rsid w:val="00236116"/>
    <w:rPr>
      <w:vertAlign w:val="superscript"/>
    </w:rPr>
  </w:style>
  <w:style w:type="paragraph" w:styleId="Paragraphedeliste">
    <w:name w:val="List Paragraph"/>
    <w:basedOn w:val="Normal"/>
    <w:uiPriority w:val="34"/>
    <w:qFormat/>
    <w:rsid w:val="001D22F6"/>
    <w:pPr>
      <w:ind w:left="720"/>
      <w:contextualSpacing/>
    </w:pPr>
  </w:style>
  <w:style w:type="paragraph" w:styleId="En-tte">
    <w:name w:val="header"/>
    <w:basedOn w:val="Normal"/>
    <w:link w:val="En-tteCar"/>
    <w:uiPriority w:val="99"/>
    <w:unhideWhenUsed/>
    <w:rsid w:val="0083631C"/>
    <w:pPr>
      <w:tabs>
        <w:tab w:val="center" w:pos="4536"/>
        <w:tab w:val="right" w:pos="9072"/>
      </w:tabs>
      <w:spacing w:after="0" w:line="240" w:lineRule="auto"/>
    </w:pPr>
  </w:style>
  <w:style w:type="character" w:customStyle="1" w:styleId="En-tteCar">
    <w:name w:val="En-tête Car"/>
    <w:basedOn w:val="Policepardfaut"/>
    <w:link w:val="En-tte"/>
    <w:uiPriority w:val="99"/>
    <w:rsid w:val="0083631C"/>
  </w:style>
  <w:style w:type="paragraph" w:styleId="Pieddepage">
    <w:name w:val="footer"/>
    <w:basedOn w:val="Normal"/>
    <w:link w:val="PieddepageCar"/>
    <w:uiPriority w:val="99"/>
    <w:unhideWhenUsed/>
    <w:rsid w:val="0083631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3631C"/>
  </w:style>
  <w:style w:type="character" w:styleId="Lienhypertexte">
    <w:name w:val="Hyperlink"/>
    <w:basedOn w:val="Policepardfaut"/>
    <w:uiPriority w:val="99"/>
    <w:unhideWhenUsed/>
    <w:rsid w:val="0083631C"/>
    <w:rPr>
      <w:color w:val="0000FF" w:themeColor="hyperlink"/>
      <w:u w:val="single"/>
    </w:rPr>
  </w:style>
  <w:style w:type="paragraph" w:styleId="Textedebulles">
    <w:name w:val="Balloon Text"/>
    <w:basedOn w:val="Normal"/>
    <w:link w:val="TextedebullesCar"/>
    <w:uiPriority w:val="99"/>
    <w:semiHidden/>
    <w:unhideWhenUsed/>
    <w:rsid w:val="000A5EB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A5E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http://www.ajurry.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52AD0-BA54-4B39-ADB0-44CBD9B81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1</Pages>
  <Words>1346</Words>
  <Characters>7406</Characters>
  <Application>Microsoft Office Word</Application>
  <DocSecurity>0</DocSecurity>
  <Lines>61</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abdelhamid</dc:creator>
  <cp:keywords/>
  <dc:description/>
  <cp:lastModifiedBy>abdelhamid</cp:lastModifiedBy>
  <cp:revision>17</cp:revision>
  <cp:lastPrinted>2013-03-15T07:39:00Z</cp:lastPrinted>
  <dcterms:created xsi:type="dcterms:W3CDTF">2013-02-17T17:58:00Z</dcterms:created>
  <dcterms:modified xsi:type="dcterms:W3CDTF">2013-03-15T07:41:00Z</dcterms:modified>
</cp:coreProperties>
</file>