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A79" w:rsidRPr="00266ABB" w:rsidRDefault="00266ABB" w:rsidP="00391A79">
      <w:pPr>
        <w:jc w:val="center"/>
        <w:rPr>
          <w:rFonts w:cs="AGA Granada Regular"/>
          <w:sz w:val="48"/>
          <w:szCs w:val="48"/>
          <w:rtl/>
        </w:rPr>
      </w:pPr>
      <w:r w:rsidRPr="00266ABB">
        <w:rPr>
          <w:rFonts w:cs="AGA Granada Regular" w:hint="cs"/>
          <w:sz w:val="48"/>
          <w:szCs w:val="48"/>
          <w:rtl/>
        </w:rPr>
        <w:t>فهرسة التعليق على كتاب:</w:t>
      </w:r>
    </w:p>
    <w:p w:rsidR="00266ABB" w:rsidRDefault="00266ABB" w:rsidP="009828AA">
      <w:pPr>
        <w:jc w:val="center"/>
        <w:rPr>
          <w:sz w:val="48"/>
          <w:szCs w:val="48"/>
          <w:rtl/>
        </w:rPr>
      </w:pPr>
    </w:p>
    <w:p w:rsidR="00266ABB" w:rsidRDefault="00266ABB" w:rsidP="009828AA">
      <w:pPr>
        <w:jc w:val="center"/>
        <w:rPr>
          <w:sz w:val="48"/>
          <w:szCs w:val="48"/>
          <w:rtl/>
        </w:rPr>
      </w:pPr>
    </w:p>
    <w:p w:rsidR="00266ABB" w:rsidRDefault="00391A79" w:rsidP="009828AA">
      <w:pPr>
        <w:jc w:val="center"/>
        <w:rPr>
          <w:sz w:val="48"/>
          <w:szCs w:val="4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8435A" wp14:editId="018C993C">
                <wp:simplePos x="0" y="0"/>
                <wp:positionH relativeFrom="column">
                  <wp:posOffset>1573999</wp:posOffset>
                </wp:positionH>
                <wp:positionV relativeFrom="paragraph">
                  <wp:posOffset>473904</wp:posOffset>
                </wp:positionV>
                <wp:extent cx="2846567" cy="1502797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6567" cy="1502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3270" w:rsidRPr="00393E0A" w:rsidRDefault="00266ABB" w:rsidP="00266ABB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rtl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393E0A">
                              <w:rPr>
                                <w:rFonts w:hint="cs"/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rtl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القواعد الحسان </w:t>
                            </w:r>
                          </w:p>
                          <w:p w:rsidR="00266ABB" w:rsidRPr="00393E0A" w:rsidRDefault="00266ABB" w:rsidP="00266ABB">
                            <w:pPr>
                              <w:jc w:val="center"/>
                              <w:rPr>
                                <w:rFonts w:eastAsiaTheme="minorHAnsi"/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bidi="ar-A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393E0A">
                              <w:rPr>
                                <w:rFonts w:hint="cs"/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rtl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في تفسير القرآن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88435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23.95pt;margin-top:37.3pt;width:224.15pt;height:11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L8bKwIAAFcEAAAOAAAAZHJzL2Uyb0RvYy54bWysVE1vGjEQvVfqf7B8LwuIj2TFEtFEVJWi&#10;JBJUORuvzVpae1zbsEt/fcfehZC0p6oXM187nnnvmcVdq2tyFM4rMAUdDYaUCMOhVGZf0B/b9Zcb&#10;SnxgpmQ1GFHQk/D0bvn506KxuRhDBXUpHMEmxueNLWgVgs2zzPNKaOYHYIXBpASnWUDX7bPSsQa7&#10;6zobD4ezrAFXWgdceI/Rhy5Jl6m/lIKHZym9CKQuKM4W0unSuYtntlywfO+YrRTvx2D/MIVmyuCl&#10;l1YPLDBycOqPVlpxBx5kGHDQGUipuEg74Daj4YdtNhWzIu2C4Hh7gcn/v7b86fjiiCqRO0oM00jR&#10;VrSBfIWWjCI6jfU5Fm0sloUWw7Gyj3sMxqVb6XT8xXUI5hHn0wXb2IxjcHwzmU1nc0o45kbT4Xh+&#10;O499srfPrfPhmwBNolFQh+QlTNnx0Yeu9FwSbzOwVnWNcZbX5l0Ae3YRkRTQfx036SaOVmh3bb/G&#10;DsoTbuegU4e3fK1wgkfmwwtzKAdcCCUenvGQNTQFhd6ipAL362/xWI8sYZaSBuVVUP/zwJygpP5u&#10;kL/b0WQS9ZicyXQ+RsddZ3bXGXPQ94AKRo5wumTG+lCfTelAv+JLWMVbMcUMx7sLGs7mfehEjy+J&#10;i9UqFaECLQuPZmN5bB0hjPhu21fmbE9CQP6e4CxEln/goqvtwF8dAkiViIoAd6giwdFB9Saq+5cW&#10;n8e1n6re/g+WvwEAAP//AwBQSwMEFAAGAAgAAAAhADZkyBnfAAAACgEAAA8AAABkcnMvZG93bnJl&#10;di54bWxMj8tOwzAQRfdI/IM1SOyonTSkJGRSIRBbEOUhsXPjaRIRj6PYbcLfY1awHN2je89U28UO&#10;4kST7x0jJCsFgrhxpucW4e318eoGhA+ajR4cE8I3edjW52eVLo2b+YVOu9CKWMK+1AhdCGMppW86&#10;stqv3Egcs4ObrA7xnFppJj3HcjvIVKlcWt1zXOj0SPcdNV+7o0V4fzp8fmTquX2w1+PsFiXZFhLx&#10;8mK5uwURaAl/MPzqR3Woo9PeHdl4MSCk2aaIKMImy0FEIC/yFMQeYZ0ka5B1Jf+/UP8AAAD//wMA&#10;UEsBAi0AFAAGAAgAAAAhALaDOJL+AAAA4QEAABMAAAAAAAAAAAAAAAAAAAAAAFtDb250ZW50X1R5&#10;cGVzXS54bWxQSwECLQAUAAYACAAAACEAOP0h/9YAAACUAQAACwAAAAAAAAAAAAAAAAAvAQAAX3Jl&#10;bHMvLnJlbHNQSwECLQAUAAYACAAAACEAIYi/GysCAABXBAAADgAAAAAAAAAAAAAAAAAuAgAAZHJz&#10;L2Uyb0RvYy54bWxQSwECLQAUAAYACAAAACEANmTIGd8AAAAKAQAADwAAAAAAAAAAAAAAAACFBAAA&#10;ZHJzL2Rvd25yZXYueG1sUEsFBgAAAAAEAAQA8wAAAJEFAAAAAA==&#10;" filled="f" stroked="f">
                <v:fill o:detectmouseclick="t"/>
                <v:textbox>
                  <w:txbxContent>
                    <w:p w:rsidR="00243270" w:rsidRPr="00393E0A" w:rsidRDefault="00266ABB" w:rsidP="00266ABB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rtl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393E0A">
                        <w:rPr>
                          <w:rFonts w:hint="cs"/>
                          <w:b/>
                          <w:outline/>
                          <w:color w:val="ED7D31" w:themeColor="accent2"/>
                          <w:sz w:val="72"/>
                          <w:szCs w:val="72"/>
                          <w:rtl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القواعد الحسان </w:t>
                      </w:r>
                    </w:p>
                    <w:p w:rsidR="00266ABB" w:rsidRPr="00393E0A" w:rsidRDefault="00266ABB" w:rsidP="00266ABB">
                      <w:pPr>
                        <w:jc w:val="center"/>
                        <w:rPr>
                          <w:rFonts w:eastAsiaTheme="minorHAnsi"/>
                          <w:b/>
                          <w:outline/>
                          <w:color w:val="ED7D31" w:themeColor="accent2"/>
                          <w:sz w:val="72"/>
                          <w:szCs w:val="72"/>
                          <w:lang w:bidi="ar-A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393E0A">
                        <w:rPr>
                          <w:rFonts w:hint="cs"/>
                          <w:b/>
                          <w:outline/>
                          <w:color w:val="ED7D31" w:themeColor="accent2"/>
                          <w:sz w:val="72"/>
                          <w:szCs w:val="72"/>
                          <w:rtl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في تفسير القرآن</w:t>
                      </w:r>
                    </w:p>
                  </w:txbxContent>
                </v:textbox>
              </v:shape>
            </w:pict>
          </mc:Fallback>
        </mc:AlternateContent>
      </w:r>
    </w:p>
    <w:p w:rsidR="00266ABB" w:rsidRDefault="00266ABB" w:rsidP="009828AA">
      <w:pPr>
        <w:jc w:val="center"/>
        <w:rPr>
          <w:sz w:val="48"/>
          <w:szCs w:val="48"/>
          <w:rtl/>
        </w:rPr>
      </w:pPr>
    </w:p>
    <w:p w:rsidR="00266ABB" w:rsidRDefault="00266ABB" w:rsidP="00266ABB">
      <w:pPr>
        <w:rPr>
          <w:sz w:val="48"/>
          <w:szCs w:val="48"/>
          <w:rtl/>
        </w:rPr>
      </w:pPr>
    </w:p>
    <w:p w:rsidR="00266ABB" w:rsidRDefault="00266ABB" w:rsidP="009828AA">
      <w:pPr>
        <w:jc w:val="center"/>
        <w:rPr>
          <w:sz w:val="48"/>
          <w:szCs w:val="48"/>
          <w:rtl/>
        </w:rPr>
      </w:pPr>
    </w:p>
    <w:p w:rsidR="00266ABB" w:rsidRDefault="00266ABB" w:rsidP="009828AA">
      <w:pPr>
        <w:jc w:val="center"/>
        <w:rPr>
          <w:sz w:val="48"/>
          <w:szCs w:val="48"/>
          <w:rtl/>
        </w:rPr>
      </w:pPr>
    </w:p>
    <w:p w:rsidR="00243270" w:rsidRDefault="00243270" w:rsidP="009828AA">
      <w:pPr>
        <w:jc w:val="center"/>
        <w:rPr>
          <w:sz w:val="48"/>
          <w:szCs w:val="48"/>
          <w:rtl/>
        </w:rPr>
      </w:pPr>
    </w:p>
    <w:p w:rsidR="00243270" w:rsidRDefault="00243270" w:rsidP="009828AA">
      <w:pPr>
        <w:jc w:val="center"/>
        <w:rPr>
          <w:sz w:val="48"/>
          <w:szCs w:val="48"/>
          <w:rtl/>
        </w:rPr>
      </w:pPr>
    </w:p>
    <w:p w:rsidR="00266ABB" w:rsidRDefault="00266ABB" w:rsidP="00266ABB">
      <w:pPr>
        <w:jc w:val="center"/>
        <w:rPr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>لفضيلة الشيخ:</w:t>
      </w:r>
    </w:p>
    <w:p w:rsidR="00266ABB" w:rsidRDefault="00266ABB" w:rsidP="00266ABB">
      <w:pPr>
        <w:jc w:val="center"/>
        <w:rPr>
          <w:rFonts w:cs="Al-Kharashi 26"/>
          <w:sz w:val="72"/>
          <w:szCs w:val="72"/>
          <w:rtl/>
        </w:rPr>
      </w:pPr>
      <w:r w:rsidRPr="00266ABB">
        <w:rPr>
          <w:rFonts w:cs="Al-Kharashi 26" w:hint="cs"/>
          <w:sz w:val="72"/>
          <w:szCs w:val="72"/>
          <w:rtl/>
        </w:rPr>
        <w:t xml:space="preserve">محمد بن صالح العثيمين </w:t>
      </w:r>
    </w:p>
    <w:p w:rsidR="00266ABB" w:rsidRDefault="00266ABB" w:rsidP="00266ABB">
      <w:pPr>
        <w:jc w:val="center"/>
        <w:rPr>
          <w:rFonts w:cs="Al-Kharashi 26"/>
          <w:sz w:val="72"/>
          <w:szCs w:val="72"/>
          <w:rtl/>
        </w:rPr>
      </w:pPr>
    </w:p>
    <w:p w:rsidR="00AB5AD4" w:rsidRDefault="00AB5AD4" w:rsidP="00266ABB">
      <w:pPr>
        <w:jc w:val="center"/>
        <w:rPr>
          <w:rFonts w:cs="Al-Kharashi 26"/>
          <w:sz w:val="72"/>
          <w:szCs w:val="72"/>
          <w:rtl/>
        </w:rPr>
      </w:pPr>
    </w:p>
    <w:p w:rsidR="00391A79" w:rsidRPr="00391A79" w:rsidRDefault="00391A79" w:rsidP="00266ABB">
      <w:pPr>
        <w:jc w:val="center"/>
        <w:rPr>
          <w:rFonts w:cs="Al-Kharashi 26"/>
          <w:sz w:val="28"/>
          <w:szCs w:val="28"/>
          <w:rtl/>
        </w:rPr>
      </w:pPr>
    </w:p>
    <w:p w:rsidR="00391A79" w:rsidRDefault="00391A79" w:rsidP="00AB5AD4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الشريط 01</w:t>
      </w:r>
    </w:p>
    <w:p w:rsidR="00AB5AD4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 xml:space="preserve"> </w:t>
      </w:r>
      <w:r w:rsidR="00AB5AD4"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مقدمة المؤلف . </w:t>
      </w:r>
      <w:r w:rsidR="00AB5AD4"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من القاعدة الأولى إلى القاعدة السادسة . </w:t>
      </w:r>
      <w:r w:rsidR="00AB5AD4"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تدبر القرآن الكريم : وبيان فضله . </w:t>
      </w:r>
      <w:r w:rsidR="00AB5AD4"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الحكم يدور مع علته وجوداً وعدماً وقوةًً وضعفا</w:t>
      </w:r>
    </w:p>
    <w:p w:rsidR="00AB5AD4" w:rsidRDefault="00AB5AD4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السادسة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التوحيد :أقسامه وثماره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بيان طريقة القرآن في تقرير المعاد</w:t>
      </w:r>
    </w:p>
    <w:p w:rsidR="00391A79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الشريط 02</w:t>
      </w:r>
    </w:p>
    <w:p w:rsidR="00AB5AD4" w:rsidRDefault="00AB5AD4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الحادية عشرة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دلالة القرآن على الأشياء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الآيات القرآنية التي ظاهرها التعارض يجب حملها على ما يليق ويناسب المقام كل بحسبه</w:t>
      </w:r>
    </w:p>
    <w:p w:rsidR="00AB5AD4" w:rsidRDefault="00AB5AD4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تابع القاعدة الثانية عشرة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بيان طريقة القرآن في الحجاج والمجادلة مع أهل الأديان الباطلة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قاعدة : حذف المتعلق المعمول فيه يفيد تعميم المعنى المناسب له</w:t>
      </w:r>
    </w:p>
    <w:p w:rsidR="00391A79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الشريط 03</w:t>
      </w:r>
    </w:p>
    <w:p w:rsidR="00391A79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الخامسة عشرة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إفراد الاسم يدل على العموم المناسب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إذا اختتمت الآية باسم من أسماء الله فإن حكم ذلك يتعلق بما يدل عليه ذلك الاسم . </w:t>
      </w:r>
    </w:p>
    <w:p w:rsidR="00AB5AD4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العشرون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القرآن الكريم محكم ومتشابه : وبيان ذلك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القرآن يجري في إرشاداته مع الزمان والمكان والأحوال في أحكامه الراجعة للعزف والعوائد</w:t>
      </w:r>
    </w:p>
    <w:p w:rsidR="00391A79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1A79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1A79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1A79" w:rsidRDefault="00391A79" w:rsidP="00AB5AD4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الشريط 04</w:t>
      </w:r>
    </w:p>
    <w:p w:rsidR="00391A79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تابع القاعدة الثانية والعشرون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حكم من علم الحق وتركه بدون عذر شرعي ؟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إرشادات القرآن على نوعين : وبيان ذلك . </w:t>
      </w:r>
    </w:p>
    <w:p w:rsidR="00391A79" w:rsidRDefault="00391A79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تابع القاعدة الرابعة والعشرون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-القرآن يرشد إلى التوسط والاعتدال : وبيان ذلك ودليله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حدود الله : تعديها وقربانها . </w:t>
      </w:r>
    </w:p>
    <w:p w:rsidR="00391A79" w:rsidRDefault="00391A79" w:rsidP="00391A79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الشريط 05</w:t>
      </w:r>
    </w:p>
    <w:p w:rsidR="00391A79" w:rsidRDefault="00391A79" w:rsidP="00391A79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تابع القاعدة السادسة والعشرون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الأصل في القيود والشروط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-الخطاب بالإيمان ينقسم إلى قسمين : وبيان كلا منهما .</w:t>
      </w:r>
    </w:p>
    <w:p w:rsidR="00391A79" w:rsidRDefault="00391A79" w:rsidP="00391A79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التاسعة والعشرون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-أركان الإيمان بالأسماء الحسنى ثلاثة : وبيان كلا منها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مرض القلب في القرآن : وبيان ما يتعلق به . </w:t>
      </w:r>
    </w:p>
    <w:p w:rsidR="00391A79" w:rsidRDefault="00391A79" w:rsidP="00391A79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الشريط 06</w:t>
      </w:r>
    </w:p>
    <w:p w:rsidR="00391A79" w:rsidRDefault="00391A79" w:rsidP="00391A79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السادسة والثلاثون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ترتيب الحكم باعتبار القصد : ودليل ذلك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بيان طريقة القرآن الكريم في أحوال السياسة والداخية والخارجية . </w:t>
      </w:r>
    </w:p>
    <w:p w:rsidR="00391A79" w:rsidRDefault="00391A79" w:rsidP="00391A79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تابع القاعدة التاسعة والثلاثون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-أداء الأمانة : وبيان الواجب فيها وما يتعلق بها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طاعة أولي الأمر : وبيان الضابط فيها . </w:t>
      </w:r>
    </w:p>
    <w:p w:rsidR="00391A79" w:rsidRDefault="00391A79" w:rsidP="00391A79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1A79" w:rsidRDefault="00391A79" w:rsidP="00391A79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1A79" w:rsidRDefault="00391A79" w:rsidP="00391A79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1A79" w:rsidRDefault="00391A79" w:rsidP="00391A79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1A79" w:rsidRDefault="00391A79" w:rsidP="00391A79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الشريط 07</w:t>
      </w:r>
    </w:p>
    <w:p w:rsidR="00AB5AD4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الأربعون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أصول الطب ثلاثة : وبيان كلٍ منها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بيان ما يرشد الله إليه عباده من جهة </w:t>
      </w:r>
      <w:r>
        <w:rPr>
          <w:rFonts w:ascii="Traditional Arabic" w:eastAsia="Times New Roman" w:hAnsi="Traditional Arabic" w:cs="Traditional Arabic" w:hint="cs"/>
          <w:b/>
          <w:bCs/>
          <w:color w:val="000000"/>
          <w:sz w:val="27"/>
          <w:szCs w:val="27"/>
          <w:rtl/>
        </w:rPr>
        <w:t>العمل</w:t>
      </w:r>
      <w:hyperlink r:id="rId7" w:tooltip="Click to Continue &gt; by CheapCoupon" w:history="1">
        <w:r w:rsidRPr="00393E0A">
          <w:rPr>
            <w:rFonts w:ascii="Traditional Arabic" w:eastAsia="Times New Roman" w:hAnsi="Traditional Arabic" w:cs="Traditional Arabic"/>
            <w:b/>
            <w:bCs/>
            <w:color w:val="000000"/>
            <w:sz w:val="27"/>
            <w:szCs w:val="27"/>
            <w:rtl/>
          </w:rPr>
          <w:t xml:space="preserve"> </w:t>
        </w:r>
        <w:r w:rsidRPr="0088199B">
          <w:rPr>
            <w:rFonts w:ascii="Traditional Arabic" w:eastAsia="Times New Roman" w:hAnsi="Traditional Arabic" w:cs="Traditional Arabic"/>
            <w:b/>
            <w:bCs/>
            <w:color w:val="000000"/>
            <w:sz w:val="27"/>
            <w:szCs w:val="27"/>
            <w:rtl/>
          </w:rPr>
          <w:t>إلى قصر نظرهم على الحالة الحاضرة .</w:t>
        </w:r>
        <w:r w:rsidRPr="0088199B">
          <w:rPr>
            <w:rFonts w:ascii="Traditional Arabic" w:eastAsia="Times New Roman" w:hAnsi="Traditional Arabic" w:cs="Traditional Arabic"/>
            <w:b/>
            <w:bCs/>
            <w:noProof/>
            <w:color w:val="0000FF"/>
            <w:sz w:val="27"/>
            <w:szCs w:val="27"/>
          </w:rPr>
          <w:drawing>
            <wp:inline distT="0" distB="0" distL="0" distR="0" wp14:anchorId="50961FF6" wp14:editId="2A550F0A">
              <wp:extent cx="95250" cy="95250"/>
              <wp:effectExtent l="0" t="0" r="0" b="0"/>
              <wp:docPr id="62" name="Picture 62" descr="http://cdncache-a.akamaihd.net/items/it/img/arrow-10x10.png">
                <a:hlinkClick xmlns:a="http://schemas.openxmlformats.org/drawingml/2006/main" r:id="rId7" tooltip="&quot;Click to Continue &gt; by CheapCoupon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3" descr="http://cdncache-a.akamaihd.net/items/it/img/arrow-10x10.png">
                        <a:hlinkClick r:id="rId7" tooltip="&quot;Click to Continue &gt; by CheapCoupon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 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  </w:t>
      </w:r>
      <w:r>
        <w:rPr>
          <w:rFonts w:ascii="Traditional Arabic" w:eastAsia="Times New Roman" w:hAnsi="Traditional Arabic" w:cs="Traditional Arabic" w:hint="cs"/>
          <w:b/>
          <w:bCs/>
          <w:color w:val="000000"/>
          <w:sz w:val="27"/>
          <w:szCs w:val="27"/>
          <w:rtl/>
        </w:rPr>
        <w:t>الأصول أربعة: وبيان ذلك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 w:hint="cs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الثالثة والأربعون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-بيان طريقة القرآن في علاج ميل النفوس إلى ما لا ينبغي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الصلح والإصلاح : وبيان فضله</w:t>
      </w:r>
      <w:r>
        <w:rPr>
          <w:rFonts w:ascii="Traditional Arabic" w:eastAsia="Times New Roman" w:hAnsi="Traditional Arabic" w:cs="Traditional Arabic" w:hint="cs"/>
          <w:b/>
          <w:bCs/>
          <w:color w:val="000000"/>
          <w:sz w:val="27"/>
          <w:szCs w:val="27"/>
          <w:rtl/>
        </w:rPr>
        <w:t>.</w:t>
      </w:r>
    </w:p>
    <w:p w:rsidR="00393E0A" w:rsidRDefault="00393E0A" w:rsidP="00393E0A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 xml:space="preserve">الشريط 08 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السادسة والأربعون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السياق الخاص يراد به العموم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-إذا أغلق الله باباً أمام عباده فتح خيراً منه : وبيان ذلك . 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الحادية والخمسون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حكم من طلب من غير الله ما لا يقدر عليه إلا الله ؟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بيان أن الاجر والثواب على قدر المشقة</w:t>
      </w:r>
    </w:p>
    <w:p w:rsidR="00393E0A" w:rsidRDefault="00393E0A" w:rsidP="00393E0A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الشريط</w:t>
      </w:r>
      <w:r>
        <w:rPr>
          <w:rFonts w:ascii="Times New Roman" w:eastAsia="Times New Roman" w:hAnsi="Times New Roman" w:cs="Times New Roman" w:hint="cs"/>
          <w:b/>
          <w:bCs/>
          <w:color w:val="000000"/>
          <w:sz w:val="27"/>
          <w:szCs w:val="27"/>
          <w:rtl/>
        </w:rPr>
        <w:t xml:space="preserve"> </w:t>
      </w: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09</w:t>
      </w:r>
    </w:p>
    <w:p w:rsidR="00393E0A" w:rsidRDefault="00393E0A" w:rsidP="00393E0A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الرابعة والخمسون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إثبات أن الشيء قد ينفي لانتفاء حقيقتة وقد ينفي لانتفاء ثمرته وفائدته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أمور ثلاثة يكتب فيها للعبد الثواب . 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lastRenderedPageBreak/>
        <w:t>- القاعدة السابعة والخمسون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إثبات التوحيد والمطالب العالية بالتفكر في خلق الله وسننه الكونية : ودليل ذلك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-إن هذا القرآن يهدي للتي هي اقوم : وما يستفاد منها .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393E0A" w:rsidRDefault="00393E0A" w:rsidP="00393E0A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 xml:space="preserve">الشريط 10 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الستون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إثبات أنه لا قرار للأمور العارضة التي ترد على الحق والأمور اليقينية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الوسائل لها أحكام المقاصد : وبيان ذلك . 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الرابعة والستون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إثبات أنه لا قرار للأمور العارضة التي ترد على الحق والأمور اليقينية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الوسائل لها أحكام المقاصد : وبيان ذلك .</w:t>
      </w:r>
    </w:p>
    <w:p w:rsidR="00393E0A" w:rsidRDefault="00393E0A" w:rsidP="00393E0A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 xml:space="preserve">الشريط 11 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السادسة والستون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يستدل بآثار الشيء على المؤثر : وبيان ذلك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إثبات أن كل من ترك شيئاً لله عوضه الله خيراً منه . 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t>- القاعدة الحادية والسبعون . </w:t>
      </w:r>
      <w:r w:rsidRPr="0088199B"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  <w:br/>
        <w:t>- الخاتمة . </w:t>
      </w:r>
    </w:p>
    <w:p w:rsidR="00393E0A" w:rsidRDefault="00393E0A" w:rsidP="00393E0A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  <w:r w:rsidRPr="008819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 xml:space="preserve"> </w:t>
      </w:r>
    </w:p>
    <w:p w:rsidR="00AB5AD4" w:rsidRDefault="00AB5AD4" w:rsidP="00AB5AD4">
      <w:pPr>
        <w:jc w:val="right"/>
        <w:rPr>
          <w:rFonts w:ascii="Traditional Arabic" w:eastAsia="Times New Roman" w:hAnsi="Traditional Arabic" w:cs="Traditional Arabic"/>
          <w:b/>
          <w:bCs/>
          <w:color w:val="000000"/>
          <w:sz w:val="27"/>
          <w:szCs w:val="27"/>
          <w:rtl/>
        </w:rPr>
      </w:pPr>
    </w:p>
    <w:p w:rsidR="00AB5AD4" w:rsidRPr="00AB5AD4" w:rsidRDefault="00AB5AD4" w:rsidP="00AB5AD4">
      <w:pPr>
        <w:jc w:val="right"/>
        <w:rPr>
          <w:rFonts w:ascii="Arabic Typesetting" w:eastAsia="Times New Roman" w:hAnsi="Arabic Typesetting" w:cs="Arabic Typesetting"/>
          <w:b/>
          <w:bCs/>
          <w:color w:val="000000"/>
          <w:sz w:val="48"/>
          <w:szCs w:val="48"/>
          <w:rtl/>
        </w:rPr>
      </w:pPr>
      <w:bookmarkStart w:id="0" w:name="_GoBack"/>
      <w:bookmarkEnd w:id="0"/>
    </w:p>
    <w:sectPr w:rsidR="00AB5AD4" w:rsidRPr="00AB5AD4" w:rsidSect="00393E0A">
      <w:pgSz w:w="12240" w:h="15840"/>
      <w:pgMar w:top="1440" w:right="1440" w:bottom="1440" w:left="1440" w:header="720" w:footer="720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57E" w:rsidRDefault="00A6657E" w:rsidP="00266ABB">
      <w:pPr>
        <w:spacing w:after="0" w:line="240" w:lineRule="auto"/>
      </w:pPr>
      <w:r>
        <w:separator/>
      </w:r>
    </w:p>
  </w:endnote>
  <w:endnote w:type="continuationSeparator" w:id="0">
    <w:p w:rsidR="00A6657E" w:rsidRDefault="00A6657E" w:rsidP="00266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GA Granada Regul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Kharashi 26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57E" w:rsidRDefault="00A6657E" w:rsidP="00266ABB">
      <w:pPr>
        <w:spacing w:after="0" w:line="240" w:lineRule="auto"/>
      </w:pPr>
      <w:r>
        <w:separator/>
      </w:r>
    </w:p>
  </w:footnote>
  <w:footnote w:type="continuationSeparator" w:id="0">
    <w:p w:rsidR="00A6657E" w:rsidRDefault="00A6657E" w:rsidP="00266A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8AA"/>
    <w:rsid w:val="000D7720"/>
    <w:rsid w:val="001003B7"/>
    <w:rsid w:val="00111E8E"/>
    <w:rsid w:val="0012158E"/>
    <w:rsid w:val="00185002"/>
    <w:rsid w:val="001F0E30"/>
    <w:rsid w:val="002354BD"/>
    <w:rsid w:val="00243270"/>
    <w:rsid w:val="00266ABB"/>
    <w:rsid w:val="0033359D"/>
    <w:rsid w:val="00351928"/>
    <w:rsid w:val="00391A79"/>
    <w:rsid w:val="00393E0A"/>
    <w:rsid w:val="0039667B"/>
    <w:rsid w:val="003C752B"/>
    <w:rsid w:val="003F764E"/>
    <w:rsid w:val="0041610E"/>
    <w:rsid w:val="004A30F9"/>
    <w:rsid w:val="004B7DDC"/>
    <w:rsid w:val="0060791D"/>
    <w:rsid w:val="00611B54"/>
    <w:rsid w:val="00620DEB"/>
    <w:rsid w:val="00627294"/>
    <w:rsid w:val="0063414E"/>
    <w:rsid w:val="006431DB"/>
    <w:rsid w:val="00751408"/>
    <w:rsid w:val="007B40EC"/>
    <w:rsid w:val="00822426"/>
    <w:rsid w:val="00824C94"/>
    <w:rsid w:val="00864D90"/>
    <w:rsid w:val="008E483B"/>
    <w:rsid w:val="0092666C"/>
    <w:rsid w:val="00933CD7"/>
    <w:rsid w:val="0095203C"/>
    <w:rsid w:val="00967EC8"/>
    <w:rsid w:val="009828AA"/>
    <w:rsid w:val="009851C0"/>
    <w:rsid w:val="00A53244"/>
    <w:rsid w:val="00A6657E"/>
    <w:rsid w:val="00A7737F"/>
    <w:rsid w:val="00AA1F9E"/>
    <w:rsid w:val="00AB5AD4"/>
    <w:rsid w:val="00B222B2"/>
    <w:rsid w:val="00B964B0"/>
    <w:rsid w:val="00BA1B05"/>
    <w:rsid w:val="00BB48B5"/>
    <w:rsid w:val="00CA3913"/>
    <w:rsid w:val="00CC6421"/>
    <w:rsid w:val="00D041AF"/>
    <w:rsid w:val="00D71133"/>
    <w:rsid w:val="00DA6E0C"/>
    <w:rsid w:val="00E419BA"/>
    <w:rsid w:val="00E77ADB"/>
    <w:rsid w:val="00ED6FE3"/>
    <w:rsid w:val="00EE17FC"/>
    <w:rsid w:val="00F27C63"/>
    <w:rsid w:val="00F76724"/>
    <w:rsid w:val="00F931DC"/>
    <w:rsid w:val="00FC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5705AE-515F-4D83-B4A2-1A3956923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E0A"/>
  </w:style>
  <w:style w:type="paragraph" w:styleId="Heading1">
    <w:name w:val="heading 1"/>
    <w:basedOn w:val="Normal"/>
    <w:next w:val="Normal"/>
    <w:link w:val="Heading1Char"/>
    <w:uiPriority w:val="9"/>
    <w:qFormat/>
    <w:rsid w:val="00393E0A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E0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E0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E0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E0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E0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E0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E0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E0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A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ABB"/>
    <w:rPr>
      <w:lang w:bidi="ar-AE"/>
    </w:rPr>
  </w:style>
  <w:style w:type="paragraph" w:styleId="Footer">
    <w:name w:val="footer"/>
    <w:basedOn w:val="Normal"/>
    <w:link w:val="FooterChar"/>
    <w:uiPriority w:val="99"/>
    <w:unhideWhenUsed/>
    <w:rsid w:val="00266A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ABB"/>
    <w:rPr>
      <w:lang w:bidi="ar-AE"/>
    </w:rPr>
  </w:style>
  <w:style w:type="character" w:styleId="Strong">
    <w:name w:val="Strong"/>
    <w:basedOn w:val="DefaultParagraphFont"/>
    <w:uiPriority w:val="22"/>
    <w:qFormat/>
    <w:rsid w:val="00393E0A"/>
    <w:rPr>
      <w:b/>
      <w:bCs/>
    </w:rPr>
  </w:style>
  <w:style w:type="character" w:customStyle="1" w:styleId="apple-converted-space">
    <w:name w:val="apple-converted-space"/>
    <w:basedOn w:val="DefaultParagraphFont"/>
    <w:rsid w:val="00391A79"/>
  </w:style>
  <w:style w:type="character" w:customStyle="1" w:styleId="Heading1Char">
    <w:name w:val="Heading 1 Char"/>
    <w:basedOn w:val="DefaultParagraphFont"/>
    <w:link w:val="Heading1"/>
    <w:uiPriority w:val="9"/>
    <w:rsid w:val="00393E0A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E0A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E0A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E0A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E0A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E0A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E0A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E0A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E0A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3E0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93E0A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393E0A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E0A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3E0A"/>
    <w:rPr>
      <w:caps/>
      <w:color w:val="404040" w:themeColor="text1" w:themeTint="BF"/>
      <w:spacing w:val="20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393E0A"/>
    <w:rPr>
      <w:i/>
      <w:iCs/>
      <w:color w:val="000000" w:themeColor="text1"/>
    </w:rPr>
  </w:style>
  <w:style w:type="paragraph" w:styleId="NoSpacing">
    <w:name w:val="No Spacing"/>
    <w:uiPriority w:val="1"/>
    <w:qFormat/>
    <w:rsid w:val="00393E0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93E0A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93E0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E0A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E0A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393E0A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93E0A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SubtleReference">
    <w:name w:val="Subtle Reference"/>
    <w:basedOn w:val="DefaultParagraphFont"/>
    <w:uiPriority w:val="31"/>
    <w:qFormat/>
    <w:rsid w:val="00393E0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93E0A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393E0A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93E0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ibnothaimeen.com/publish/cat_index_35.s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F6C03-1C8A-40B9-84D8-DE4136B9D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5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ahmedo almarzooqi</dc:creator>
  <cp:keywords/>
  <dc:description/>
  <cp:lastModifiedBy>ahmedo almarzooqi</cp:lastModifiedBy>
  <cp:revision>1</cp:revision>
  <dcterms:created xsi:type="dcterms:W3CDTF">2015-01-04T15:06:00Z</dcterms:created>
  <dcterms:modified xsi:type="dcterms:W3CDTF">2015-01-05T03:34:00Z</dcterms:modified>
</cp:coreProperties>
</file>